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91" w:rsidRDefault="00C82F91" w:rsidP="00F251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Práctica Profesional Obligatoria 2019</w:t>
      </w:r>
      <w:bookmarkStart w:id="0" w:name="_GoBack"/>
      <w:bookmarkEnd w:id="0"/>
    </w:p>
    <w:p w:rsidR="00AB4451" w:rsidRPr="00E21606" w:rsidRDefault="00AB4451" w:rsidP="00F25125">
      <w:pPr>
        <w:jc w:val="center"/>
        <w:rPr>
          <w:b/>
          <w:i/>
          <w:sz w:val="28"/>
          <w:szCs w:val="28"/>
          <w:u w:val="single"/>
        </w:rPr>
      </w:pPr>
      <w:r w:rsidRPr="00E21606">
        <w:rPr>
          <w:b/>
          <w:sz w:val="28"/>
          <w:szCs w:val="28"/>
          <w:u w:val="single"/>
        </w:rPr>
        <w:t xml:space="preserve">Diagnóstico de infección por </w:t>
      </w:r>
      <w:r w:rsidRPr="00E21606">
        <w:rPr>
          <w:b/>
          <w:i/>
          <w:sz w:val="28"/>
          <w:szCs w:val="28"/>
          <w:u w:val="single"/>
        </w:rPr>
        <w:t>Trypanosoma cruzi</w:t>
      </w:r>
    </w:p>
    <w:p w:rsidR="007A6C88" w:rsidRDefault="007A6C88" w:rsidP="00F25125">
      <w:pPr>
        <w:ind w:firstLine="709"/>
        <w:jc w:val="both"/>
      </w:pPr>
      <w:r w:rsidRPr="007A6C88">
        <w:t>Los m</w:t>
      </w:r>
      <w:r>
        <w:t>étodos parasitológicos directos</w:t>
      </w:r>
      <w:r w:rsidRPr="007A6C88">
        <w:t xml:space="preserve"> que consisten en la identificaci</w:t>
      </w:r>
      <w:r>
        <w:t xml:space="preserve">ón de tripomastigotes en sangre mediante microscopía son más efectivos durante la fase aguda de la enfermedad de Chagas. </w:t>
      </w:r>
      <w:r w:rsidRPr="007A6C88">
        <w:t>Los niveles de par</w:t>
      </w:r>
      <w:r>
        <w:t>á</w:t>
      </w:r>
      <w:r w:rsidRPr="007A6C88">
        <w:t>sit</w:t>
      </w:r>
      <w:r>
        <w:t>o</w:t>
      </w:r>
      <w:r w:rsidRPr="007A6C88">
        <w:t xml:space="preserve">s circulantes disminuyen </w:t>
      </w:r>
      <w:r w:rsidR="00E16F6C" w:rsidRPr="007A6C88">
        <w:t>rápidamente</w:t>
      </w:r>
      <w:r w:rsidRPr="007A6C88">
        <w:t xml:space="preserve"> durante los primeros meses y </w:t>
      </w:r>
      <w:r w:rsidR="005017E2">
        <w:t>se vuelven</w:t>
      </w:r>
      <w:r w:rsidRPr="007A6C88">
        <w:t xml:space="preserve"> i</w:t>
      </w:r>
      <w:r>
        <w:t>n</w:t>
      </w:r>
      <w:r w:rsidRPr="007A6C88">
        <w:t xml:space="preserve">detectables </w:t>
      </w:r>
      <w:r>
        <w:t>mediante la mayoría de los métodos durante la fase crónica.</w:t>
      </w:r>
    </w:p>
    <w:p w:rsidR="0002045A" w:rsidRDefault="005017E2" w:rsidP="00F25125">
      <w:pPr>
        <w:ind w:firstLine="709"/>
        <w:jc w:val="both"/>
      </w:pPr>
      <w:r w:rsidRPr="005017E2">
        <w:t xml:space="preserve">El </w:t>
      </w:r>
      <w:r w:rsidR="00E16F6C" w:rsidRPr="005017E2">
        <w:t>diagnóstic</w:t>
      </w:r>
      <w:r w:rsidR="00E16F6C">
        <w:t>o</w:t>
      </w:r>
      <w:r w:rsidRPr="005017E2">
        <w:t xml:space="preserve"> de la enfermedad de </w:t>
      </w:r>
      <w:r w:rsidR="000A5C98" w:rsidRPr="005017E2">
        <w:t xml:space="preserve">Chagas </w:t>
      </w:r>
      <w:r w:rsidRPr="005017E2">
        <w:t>crónica se hace mediante m</w:t>
      </w:r>
      <w:r>
        <w:t xml:space="preserve">étodos serológicos, buscando anticuerpos contra el parásito. Un único ensayo no se considera suficientemente sensible y específico para el diagnóstico de la enfermedad de Chagas. Por lo tanto, en general se utilizan </w:t>
      </w:r>
      <w:r w:rsidR="00E46425">
        <w:t>2 o más ensayos con diferentes técnicas y/o que detecten anticuerpos cont</w:t>
      </w:r>
      <w:r w:rsidR="00E90906">
        <w:t>ra diferentes antígenos. Dos téc</w:t>
      </w:r>
      <w:r w:rsidR="00E46425">
        <w:t>nicas</w:t>
      </w:r>
      <w:r w:rsidR="00FF46EE">
        <w:t xml:space="preserve"> comúnmente usadas son la inmuno</w:t>
      </w:r>
      <w:r w:rsidR="00E46425">
        <w:t xml:space="preserve">fluorescencia indirecta (IFI) y el ELISA (enzime-linked immunosorbent assay). </w:t>
      </w:r>
    </w:p>
    <w:p w:rsidR="0002045A" w:rsidRDefault="00E46425" w:rsidP="00F25125">
      <w:pPr>
        <w:ind w:firstLine="709"/>
        <w:jc w:val="both"/>
      </w:pPr>
      <w:r>
        <w:t>También existen métodos moleculares</w:t>
      </w:r>
      <w:r w:rsidR="00E21606">
        <w:t xml:space="preserve"> de diagnóstico, los cuales</w:t>
      </w:r>
      <w:r>
        <w:t xml:space="preserve"> </w:t>
      </w:r>
      <w:r w:rsidR="00BE21AE">
        <w:t>sue</w:t>
      </w:r>
      <w:r w:rsidR="00E21606">
        <w:t>len ser recomendados cuando hay</w:t>
      </w:r>
      <w:r w:rsidR="00BE21AE">
        <w:t xml:space="preserve"> discrepancia entre ensayos serológicos. </w:t>
      </w:r>
      <w:r w:rsidR="0002045A">
        <w:t xml:space="preserve">Existen varios métodos que amplifican diferentes secuencias </w:t>
      </w:r>
      <w:r w:rsidR="00E21606">
        <w:t>tanto</w:t>
      </w:r>
      <w:r w:rsidR="0002045A">
        <w:t xml:space="preserve"> de ADN del kinetoplasto </w:t>
      </w:r>
      <w:r w:rsidR="00E21606">
        <w:t>com</w:t>
      </w:r>
      <w:r w:rsidR="0002045A">
        <w:t xml:space="preserve">o de ADN genómico (ADN satélite) de </w:t>
      </w:r>
      <w:r w:rsidR="0002045A" w:rsidRPr="0002045A">
        <w:rPr>
          <w:i/>
        </w:rPr>
        <w:t>Trypanosoma cruzi</w:t>
      </w:r>
      <w:r w:rsidR="0002045A">
        <w:t>. En principio estos métodos podrían utilizarse para el diagnóstico de la enfermedad aguda y crónica, aunque su uso aun es controversial.</w:t>
      </w:r>
    </w:p>
    <w:p w:rsidR="00BE21AE" w:rsidRDefault="00BE21AE" w:rsidP="00F25125">
      <w:pPr>
        <w:ind w:firstLine="709"/>
        <w:jc w:val="both"/>
      </w:pPr>
      <w:r>
        <w:t>En todos los casos, una consideración cuidadosa de la historia del paciente para identificar posibles</w:t>
      </w:r>
      <w:r w:rsidR="0002045A">
        <w:t xml:space="preserve"> riesgos de infección</w:t>
      </w:r>
      <w:r w:rsidR="00D1221A">
        <w:t xml:space="preserve"> junto a la utilización de diferentes técnicas </w:t>
      </w:r>
      <w:r w:rsidR="00E90906">
        <w:t>permite</w:t>
      </w:r>
      <w:r>
        <w:t xml:space="preserve"> aumentar la precisión del diagnóstico.</w:t>
      </w:r>
    </w:p>
    <w:p w:rsidR="000F081E" w:rsidRDefault="000F081E" w:rsidP="00F25125">
      <w:pPr>
        <w:rPr>
          <w:b/>
          <w:sz w:val="24"/>
          <w:szCs w:val="24"/>
          <w:u w:val="single"/>
        </w:rPr>
      </w:pPr>
    </w:p>
    <w:p w:rsidR="00DD09A5" w:rsidRPr="00E21606" w:rsidRDefault="000F081E" w:rsidP="00F25125">
      <w:pPr>
        <w:pStyle w:val="Prrafodelista"/>
        <w:numPr>
          <w:ilvl w:val="0"/>
          <w:numId w:val="8"/>
        </w:numPr>
        <w:tabs>
          <w:tab w:val="left" w:pos="450"/>
        </w:tabs>
        <w:ind w:left="450" w:hanging="450"/>
        <w:rPr>
          <w:b/>
          <w:sz w:val="24"/>
          <w:szCs w:val="24"/>
          <w:u w:val="single"/>
        </w:rPr>
      </w:pPr>
      <w:r w:rsidRPr="00E21606">
        <w:rPr>
          <w:b/>
          <w:sz w:val="24"/>
          <w:szCs w:val="24"/>
          <w:u w:val="single"/>
        </w:rPr>
        <w:t xml:space="preserve">Diagnóstico mediante </w:t>
      </w:r>
      <w:r w:rsidR="00DF14A2" w:rsidRPr="00E21606">
        <w:rPr>
          <w:b/>
          <w:sz w:val="24"/>
          <w:szCs w:val="24"/>
          <w:u w:val="single"/>
        </w:rPr>
        <w:t>Reacción en Cadena de la Polimerasa (PCR)</w:t>
      </w:r>
    </w:p>
    <w:p w:rsidR="001D7454" w:rsidRDefault="001D7454" w:rsidP="00F25125">
      <w:pPr>
        <w:tabs>
          <w:tab w:val="left" w:pos="450"/>
        </w:tabs>
        <w:ind w:left="450" w:hanging="450"/>
        <w:jc w:val="both"/>
        <w:rPr>
          <w:lang w:val="es-AR"/>
        </w:rPr>
      </w:pPr>
      <w:r w:rsidRPr="00250EFB">
        <w:rPr>
          <w:lang w:val="es-AR"/>
        </w:rPr>
        <w:t xml:space="preserve">Se amplificará una secuencia de los minicírculos del ADN del kinetoplasto (ADNk), descripta previamente y utilizada ampliamente en nuestro medio (Avila H., et al. 1991. Mol. Biochem. Parasitol., 48:211-222). </w:t>
      </w:r>
    </w:p>
    <w:p w:rsidR="001D7454" w:rsidRDefault="00F5598B" w:rsidP="00F25125">
      <w:p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948690</wp:posOffset>
            </wp:positionV>
            <wp:extent cx="4347845" cy="1866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76B" w:rsidRPr="00E8576B">
        <w:rPr>
          <w:noProof/>
        </w:rPr>
        <w:t xml:space="preserve"> </w:t>
      </w:r>
      <w:r w:rsidR="001D7454">
        <w:rPr>
          <w:lang w:val="es-AR"/>
        </w:rPr>
        <w:t xml:space="preserve">Las moléculas de los minicírculos de </w:t>
      </w:r>
      <w:r w:rsidR="001D7454" w:rsidRPr="00383C9E">
        <w:rPr>
          <w:i/>
          <w:lang w:val="es-AR"/>
        </w:rPr>
        <w:t>T.</w:t>
      </w:r>
      <w:r w:rsidR="00E16F6C">
        <w:rPr>
          <w:i/>
          <w:lang w:val="es-AR"/>
        </w:rPr>
        <w:t xml:space="preserve"> </w:t>
      </w:r>
      <w:r w:rsidR="001D7454" w:rsidRPr="00383C9E">
        <w:rPr>
          <w:i/>
          <w:lang w:val="es-AR"/>
        </w:rPr>
        <w:t>cruzi</w:t>
      </w:r>
      <w:r w:rsidR="001D7454">
        <w:rPr>
          <w:lang w:val="es-AR"/>
        </w:rPr>
        <w:t xml:space="preserve"> consisten en 1.4 kb organizados en 4 segmentos. Cada uno de estos segmentos consta de una región corta, altamente conservada en todos los minicírculos y una región más larga con alta variabilidad de secuencia.  Los primers utilizados anillan en las regiones conservadas, amplificando regiones variables comprendidas entre ellos,</w:t>
      </w:r>
      <w:r>
        <w:rPr>
          <w:lang w:val="es-AR"/>
        </w:rPr>
        <w:t xml:space="preserve"> generando un producto de 330pb.</w:t>
      </w:r>
    </w:p>
    <w:p w:rsidR="00F5598B" w:rsidRPr="00250EFB" w:rsidRDefault="00F5598B" w:rsidP="00F25125">
      <w:pPr>
        <w:tabs>
          <w:tab w:val="left" w:pos="450"/>
        </w:tabs>
        <w:ind w:left="450" w:hanging="450"/>
        <w:jc w:val="both"/>
        <w:rPr>
          <w:lang w:val="es-AR"/>
        </w:rPr>
      </w:pPr>
    </w:p>
    <w:p w:rsidR="001D7454" w:rsidRPr="00250EFB" w:rsidRDefault="001D7454" w:rsidP="00F25125">
      <w:pPr>
        <w:tabs>
          <w:tab w:val="left" w:pos="450"/>
        </w:tabs>
        <w:ind w:left="450" w:hanging="450"/>
        <w:jc w:val="both"/>
        <w:rPr>
          <w:lang w:val="es-AR"/>
        </w:rPr>
      </w:pPr>
      <w:r w:rsidRPr="00250EFB">
        <w:rPr>
          <w:lang w:val="es-AR"/>
        </w:rPr>
        <w:lastRenderedPageBreak/>
        <w:t>Dado que el ADNk se encuentra formando u</w:t>
      </w:r>
      <w:r>
        <w:rPr>
          <w:lang w:val="es-AR"/>
        </w:rPr>
        <w:t>n</w:t>
      </w:r>
      <w:r w:rsidRPr="00250EFB">
        <w:rPr>
          <w:lang w:val="es-AR"/>
        </w:rPr>
        <w:t xml:space="preserve">a red compacta de </w:t>
      </w:r>
      <w:r>
        <w:rPr>
          <w:lang w:val="es-AR"/>
        </w:rPr>
        <w:t xml:space="preserve">minicírculos y maxicirculos </w:t>
      </w:r>
      <w:r w:rsidRPr="00250EFB">
        <w:rPr>
          <w:lang w:val="es-AR"/>
        </w:rPr>
        <w:t xml:space="preserve">concatenados en el parásito, es necesario </w:t>
      </w:r>
      <w:r>
        <w:rPr>
          <w:lang w:val="es-AR"/>
        </w:rPr>
        <w:t>previamente romper esta red para liberar los minicírculos y permitir una distribución homogénea de las secuencias blanco que serán amplificadas. En este caso, esto se logra en el paso de calentamiento a 100ºc del lisado.</w:t>
      </w:r>
    </w:p>
    <w:p w:rsidR="001D7454" w:rsidRPr="001D7454" w:rsidRDefault="001D7454" w:rsidP="00F25125">
      <w:pPr>
        <w:tabs>
          <w:tab w:val="left" w:pos="450"/>
        </w:tabs>
        <w:ind w:left="450" w:hanging="450"/>
        <w:rPr>
          <w:b/>
          <w:sz w:val="24"/>
          <w:szCs w:val="24"/>
          <w:u w:val="single"/>
          <w:lang w:val="es-AR"/>
        </w:rPr>
      </w:pPr>
    </w:p>
    <w:p w:rsidR="00DF14A2" w:rsidRPr="000631B6" w:rsidRDefault="00DF14A2" w:rsidP="00F25125">
      <w:pPr>
        <w:pStyle w:val="Prrafodelista"/>
        <w:numPr>
          <w:ilvl w:val="0"/>
          <w:numId w:val="3"/>
        </w:numPr>
        <w:tabs>
          <w:tab w:val="left" w:pos="450"/>
        </w:tabs>
        <w:ind w:left="450" w:hanging="450"/>
        <w:rPr>
          <w:b/>
          <w:u w:val="single"/>
        </w:rPr>
      </w:pPr>
      <w:r w:rsidRPr="0042418F">
        <w:rPr>
          <w:b/>
        </w:rPr>
        <w:t>Obtención de ADN a partir de una muestra de sangre entera</w:t>
      </w:r>
    </w:p>
    <w:p w:rsidR="000631B6" w:rsidRDefault="000631B6" w:rsidP="00F25125">
      <w:pPr>
        <w:tabs>
          <w:tab w:val="left" w:pos="450"/>
        </w:tabs>
        <w:ind w:left="450" w:hanging="450"/>
      </w:pPr>
      <w:r w:rsidRPr="000631B6">
        <w:rPr>
          <w:u w:val="single"/>
        </w:rPr>
        <w:t>IMPORTANTE</w:t>
      </w:r>
      <w:r>
        <w:t xml:space="preserve">: La heparina es un inhibidor de la PCR, por lo que </w:t>
      </w:r>
      <w:r w:rsidRPr="000631B6">
        <w:rPr>
          <w:u w:val="single"/>
        </w:rPr>
        <w:t>NO</w:t>
      </w:r>
      <w:r>
        <w:t xml:space="preserve"> debe utilizarse heparina como anticoagulante para la extracción. Puede utilizarse EDTA.</w:t>
      </w:r>
    </w:p>
    <w:p w:rsidR="0047557A" w:rsidRDefault="0047557A" w:rsidP="00F25125">
      <w:pPr>
        <w:pStyle w:val="Prrafodelista"/>
        <w:tabs>
          <w:tab w:val="left" w:pos="450"/>
        </w:tabs>
        <w:ind w:left="450" w:hanging="450"/>
        <w:rPr>
          <w:b/>
        </w:rPr>
      </w:pPr>
    </w:p>
    <w:p w:rsidR="0047557A" w:rsidRDefault="0047557A" w:rsidP="00F25125">
      <w:pPr>
        <w:pStyle w:val="Prrafodelista"/>
        <w:tabs>
          <w:tab w:val="left" w:pos="450"/>
        </w:tabs>
        <w:ind w:left="450" w:hanging="450"/>
        <w:rPr>
          <w:b/>
        </w:rPr>
      </w:pPr>
    </w:p>
    <w:p w:rsidR="000631B6" w:rsidRPr="0042418F" w:rsidRDefault="000631B6" w:rsidP="00F25125">
      <w:pPr>
        <w:pStyle w:val="Prrafodelista"/>
        <w:tabs>
          <w:tab w:val="left" w:pos="450"/>
        </w:tabs>
        <w:ind w:left="450" w:hanging="450"/>
        <w:rPr>
          <w:b/>
          <w:u w:val="single"/>
        </w:rPr>
      </w:pPr>
      <w:r>
        <w:rPr>
          <w:b/>
        </w:rPr>
        <w:t xml:space="preserve">A1) Método </w:t>
      </w:r>
      <w:r w:rsidR="00B873FE">
        <w:rPr>
          <w:b/>
        </w:rPr>
        <w:t>“</w:t>
      </w:r>
      <w:r>
        <w:rPr>
          <w:b/>
        </w:rPr>
        <w:t>GEB</w:t>
      </w:r>
      <w:r w:rsidR="00B873FE">
        <w:rPr>
          <w:b/>
        </w:rPr>
        <w:t>”</w:t>
      </w:r>
      <w:r>
        <w:rPr>
          <w:b/>
        </w:rPr>
        <w:t>:</w:t>
      </w:r>
    </w:p>
    <w:p w:rsidR="003E3932" w:rsidRPr="003E3932" w:rsidRDefault="003E3932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Mezclar la sangre 1:1 en Solución de lisis (6M Guanidina-HCl, 0.2M EDTA).</w:t>
      </w:r>
      <w:r w:rsidRPr="003E3932">
        <w:t xml:space="preserve"> (</w:t>
      </w:r>
      <w:r w:rsidR="00FF46EE">
        <w:t xml:space="preserve">0,5 </w:t>
      </w:r>
      <w:r w:rsidR="00E21606">
        <w:t>ml</w:t>
      </w:r>
      <w:r w:rsidR="00E16F6C">
        <w:t xml:space="preserve"> </w:t>
      </w:r>
      <w:r w:rsidRPr="003E3932">
        <w:t>sangre</w:t>
      </w:r>
      <w:r w:rsidR="00F25125">
        <w:t xml:space="preserve"> </w:t>
      </w:r>
      <w:r w:rsidRPr="003E3932">
        <w:t>+</w:t>
      </w:r>
      <w:r w:rsidR="00F25125">
        <w:t xml:space="preserve"> </w:t>
      </w:r>
      <w:r w:rsidR="00FF46EE">
        <w:t xml:space="preserve">0,5 </w:t>
      </w:r>
      <w:r w:rsidR="00E21606">
        <w:t xml:space="preserve">ml </w:t>
      </w:r>
      <w:r w:rsidRPr="003E3932">
        <w:t>Solución de lisis)</w:t>
      </w:r>
    </w:p>
    <w:p w:rsidR="003E3932" w:rsidRDefault="003E3932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Hervir durante 5 a 15 minutos para “desarmar” el concatenado de ADNk, liberando los minicírculos linearizados.</w:t>
      </w:r>
      <w:r w:rsidRPr="003E3932">
        <w:t xml:space="preserve"> </w:t>
      </w:r>
      <w:r>
        <w:t xml:space="preserve">Se obtiene </w:t>
      </w:r>
      <w:r w:rsidR="00E16F6C">
        <w:t>así</w:t>
      </w:r>
      <w:r>
        <w:t xml:space="preserve"> el “</w:t>
      </w:r>
      <w:r w:rsidRPr="00F25125">
        <w:rPr>
          <w:b/>
        </w:rPr>
        <w:t>lisado GEB</w:t>
      </w:r>
      <w:r>
        <w:t>” (</w:t>
      </w:r>
      <w:r w:rsidRPr="00F25125">
        <w:rPr>
          <w:u w:val="single"/>
        </w:rPr>
        <w:t>G</w:t>
      </w:r>
      <w:r>
        <w:t>uanidine-</w:t>
      </w:r>
      <w:r w:rsidRPr="00F25125">
        <w:rPr>
          <w:u w:val="single"/>
        </w:rPr>
        <w:t>E</w:t>
      </w:r>
      <w:r>
        <w:t>DTA-</w:t>
      </w:r>
      <w:r w:rsidRPr="00F25125">
        <w:rPr>
          <w:u w:val="single"/>
        </w:rPr>
        <w:t>b</w:t>
      </w:r>
      <w:r>
        <w:t>lood), el cual es est</w:t>
      </w:r>
      <w:r w:rsidR="00F25125">
        <w:t xml:space="preserve">able hasta un mes a temperatura </w:t>
      </w:r>
      <w:r>
        <w:t>ambiente o 4ºC.</w:t>
      </w:r>
    </w:p>
    <w:p w:rsidR="003E3932" w:rsidRDefault="002E0E37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Tomar 600 ul en un tubo eppendorf y e</w:t>
      </w:r>
      <w:r w:rsidR="003E3932">
        <w:t>xtraer con un volumen (500ul) de Fenol:cloroformo</w:t>
      </w:r>
      <w:r w:rsidR="00E21606">
        <w:t>:isoamilalcohol (50:48:2), agita</w:t>
      </w:r>
      <w:r w:rsidR="003E3932">
        <w:t>ndo vigorosamente</w:t>
      </w:r>
    </w:p>
    <w:p w:rsidR="0042418F" w:rsidRDefault="003E3932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 xml:space="preserve">Centrifugar 30 min a 13000 </w:t>
      </w:r>
      <w:r w:rsidR="0042418F">
        <w:t xml:space="preserve">rpm. </w:t>
      </w:r>
    </w:p>
    <w:p w:rsidR="003E3932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(Opcional:</w:t>
      </w:r>
      <w:r w:rsidR="003E3932">
        <w:t xml:space="preserve"> llevar a freezer -70ºC</w:t>
      </w:r>
      <w:r>
        <w:t>, centrifugar 8 min 13000 rpm)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 xml:space="preserve">Recuperar la fase acuosa (superior) y extraer con un volumen de Cloroformo 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 xml:space="preserve">Centrifugar 5 min a 13000 rpm. 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 xml:space="preserve">Recuperar la fase acuosa (superior) 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Precipitación del  ADN: Agregar 0.1 volumen de Na Ac (0.1M) y 2 volúmenes de Etanol absoluto helado, incubar a -20ºC (aprox 2 horas)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Centrifugar 30 min a 13000 rpm (en lo posible en centrifuga refrigerada a 4ºC)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Eliminar sobrenadante (SN) cuidadosamente.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Lavar el ADN con 500ul de etanol 70% helado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Centrifugar 5 min a 13000 rpm (en lo posible en centrifuga refrigerada a 4ºC)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Eliminar el SN, utilizar tips para evitar que quede etanol.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Secar el ADN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Resuspender en H</w:t>
      </w:r>
      <w:r w:rsidRPr="0042418F">
        <w:rPr>
          <w:vertAlign w:val="subscript"/>
        </w:rPr>
        <w:t>2</w:t>
      </w:r>
      <w:r>
        <w:t>O estéril, en un volumen similar al de partida (lisado GEB)</w:t>
      </w:r>
    </w:p>
    <w:p w:rsidR="0042418F" w:rsidRDefault="0042418F" w:rsidP="00F25125">
      <w:pPr>
        <w:pStyle w:val="Prrafodelista"/>
        <w:numPr>
          <w:ilvl w:val="0"/>
          <w:numId w:val="2"/>
        </w:numPr>
        <w:tabs>
          <w:tab w:val="left" w:pos="450"/>
        </w:tabs>
        <w:ind w:hanging="450"/>
      </w:pPr>
      <w:r>
        <w:t>Conservar a -20ºC hasta su utilización</w:t>
      </w:r>
    </w:p>
    <w:p w:rsidR="000631B6" w:rsidRDefault="000631B6" w:rsidP="00F25125">
      <w:pPr>
        <w:tabs>
          <w:tab w:val="left" w:pos="450"/>
        </w:tabs>
        <w:ind w:left="450" w:hanging="450"/>
      </w:pPr>
    </w:p>
    <w:p w:rsidR="000631B6" w:rsidRPr="00B873FE" w:rsidRDefault="000631B6" w:rsidP="00F25125">
      <w:pPr>
        <w:pStyle w:val="Prrafodelista"/>
        <w:tabs>
          <w:tab w:val="left" w:pos="450"/>
        </w:tabs>
        <w:ind w:left="450" w:hanging="450"/>
      </w:pPr>
      <w:r>
        <w:rPr>
          <w:b/>
        </w:rPr>
        <w:t>A2) Método de unión a partículas de sílica</w:t>
      </w:r>
      <w:r w:rsidR="00B873FE">
        <w:rPr>
          <w:b/>
        </w:rPr>
        <w:t xml:space="preserve"> </w:t>
      </w:r>
      <w:r w:rsidR="00B873FE" w:rsidRPr="00B873FE">
        <w:t>(comercial)</w:t>
      </w:r>
    </w:p>
    <w:p w:rsidR="000631B6" w:rsidRPr="00E21606" w:rsidRDefault="000631B6" w:rsidP="00F25125">
      <w:pPr>
        <w:tabs>
          <w:tab w:val="left" w:pos="450"/>
        </w:tabs>
        <w:spacing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t>La metodología utiliza isocianato de guanidina y la unión del ADN a partículas de sílica.</w:t>
      </w:r>
    </w:p>
    <w:p w:rsidR="000631B6" w:rsidRPr="00E21606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  <w:u w:val="single"/>
        </w:rPr>
        <w:t>Reactivos componentes</w:t>
      </w:r>
      <w:r w:rsidRPr="00E21606">
        <w:rPr>
          <w:rFonts w:cstheme="minorHAnsi"/>
        </w:rPr>
        <w:t>:</w:t>
      </w:r>
    </w:p>
    <w:p w:rsidR="00F25125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t>BL: buffer de lisis con partículas de sílica</w:t>
      </w:r>
    </w:p>
    <w:p w:rsidR="000631B6" w:rsidRPr="00E21606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t>W1: primer buffer de lavado</w:t>
      </w:r>
    </w:p>
    <w:p w:rsidR="000631B6" w:rsidRPr="00E21606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t>W2: segundo buffer de lavado</w:t>
      </w:r>
    </w:p>
    <w:p w:rsidR="000631B6" w:rsidRPr="00E21606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lastRenderedPageBreak/>
        <w:t>W3: tercer buffer de lavado</w:t>
      </w:r>
    </w:p>
    <w:p w:rsidR="000631B6" w:rsidRPr="00E21606" w:rsidRDefault="000631B6" w:rsidP="00F25125">
      <w:pPr>
        <w:tabs>
          <w:tab w:val="left" w:pos="450"/>
        </w:tabs>
        <w:spacing w:after="0" w:line="240" w:lineRule="auto"/>
        <w:ind w:left="450" w:hanging="450"/>
        <w:rPr>
          <w:rFonts w:cstheme="minorHAnsi"/>
        </w:rPr>
      </w:pPr>
      <w:r w:rsidRPr="00E21606">
        <w:rPr>
          <w:rFonts w:cstheme="minorHAnsi"/>
        </w:rPr>
        <w:t>EB: buffer de elusión</w:t>
      </w:r>
    </w:p>
    <w:p w:rsidR="000631B6" w:rsidRPr="00E21606" w:rsidRDefault="000631B6" w:rsidP="00F25125">
      <w:pPr>
        <w:tabs>
          <w:tab w:val="left" w:pos="450"/>
        </w:tabs>
        <w:spacing w:line="240" w:lineRule="auto"/>
        <w:ind w:left="450" w:hanging="450"/>
        <w:rPr>
          <w:rFonts w:cstheme="minorHAnsi"/>
        </w:rPr>
      </w:pPr>
    </w:p>
    <w:p w:rsidR="000631B6" w:rsidRPr="00E21606" w:rsidRDefault="00E16F6C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>
        <w:rPr>
          <w:rFonts w:cstheme="minorHAnsi"/>
        </w:rPr>
        <w:t>Homogenei</w:t>
      </w:r>
      <w:r w:rsidR="000631B6" w:rsidRPr="00E21606">
        <w:rPr>
          <w:rFonts w:cstheme="minorHAnsi"/>
        </w:rPr>
        <w:t>zar los tubos con buffer BL (</w:t>
      </w:r>
      <w:r w:rsidR="00FF46EE">
        <w:rPr>
          <w:rFonts w:cstheme="minorHAnsi"/>
        </w:rPr>
        <w:t>5</w:t>
      </w:r>
      <w:r w:rsidR="000631B6" w:rsidRPr="00E21606">
        <w:rPr>
          <w:rFonts w:cstheme="minorHAnsi"/>
        </w:rPr>
        <w:t xml:space="preserve">00 </w:t>
      </w:r>
      <w:r w:rsidR="00E21606">
        <w:rPr>
          <w:rFonts w:cstheme="minorHAnsi"/>
        </w:rPr>
        <w:t>u</w:t>
      </w:r>
      <w:r w:rsidR="000631B6" w:rsidRPr="00E21606">
        <w:rPr>
          <w:rFonts w:cstheme="minorHAnsi"/>
        </w:rPr>
        <w:t>l) hasta resuspensión de sílica</w:t>
      </w:r>
      <w:r>
        <w:rPr>
          <w:rFonts w:cstheme="minorHAnsi"/>
        </w:rPr>
        <w:t>.</w:t>
      </w:r>
    </w:p>
    <w:p w:rsidR="000631B6" w:rsidRPr="00E21606" w:rsidRDefault="00E16F6C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>
        <w:rPr>
          <w:rFonts w:cstheme="minorHAnsi"/>
        </w:rPr>
        <w:t>A</w:t>
      </w:r>
      <w:r w:rsidR="002E0E37">
        <w:rPr>
          <w:rFonts w:cstheme="minorHAnsi"/>
        </w:rPr>
        <w:t xml:space="preserve">gregar 0.5 </w:t>
      </w:r>
      <w:r w:rsidR="000631B6" w:rsidRPr="00E21606">
        <w:rPr>
          <w:rFonts w:cstheme="minorHAnsi"/>
        </w:rPr>
        <w:t xml:space="preserve">ml de muestra </w:t>
      </w:r>
      <w:r>
        <w:rPr>
          <w:rFonts w:cstheme="minorHAnsi"/>
        </w:rPr>
        <w:t>de sangre entera. Mezclar con vó</w:t>
      </w:r>
      <w:r w:rsidR="000631B6" w:rsidRPr="00E21606">
        <w:rPr>
          <w:rFonts w:cstheme="minorHAnsi"/>
        </w:rPr>
        <w:t>rtex por 10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Dejar el tubo a TA por 10 min agitando periódicamente cada 1 min.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Agitar en </w:t>
      </w:r>
      <w:r w:rsidR="00E16F6C">
        <w:rPr>
          <w:rFonts w:cstheme="minorHAnsi"/>
        </w:rPr>
        <w:t>v</w:t>
      </w:r>
      <w:r w:rsidR="00E16F6C" w:rsidRPr="00E21606">
        <w:rPr>
          <w:rFonts w:cstheme="minorHAnsi"/>
        </w:rPr>
        <w:t>órtex</w:t>
      </w:r>
      <w:r w:rsidRPr="00E21606">
        <w:rPr>
          <w:rFonts w:cstheme="minorHAnsi"/>
        </w:rPr>
        <w:t xml:space="preserve"> por 10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Centrifugar a 10000 rpm durante 30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Descartar el SN con micropipeta teniendo cuidado de no perturbar el pellet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Lavar el pellet agregando 900 </w:t>
      </w:r>
      <w:r w:rsidR="00E21606">
        <w:rPr>
          <w:rFonts w:cstheme="minorHAnsi"/>
        </w:rPr>
        <w:t>u</w:t>
      </w:r>
      <w:r w:rsidRPr="00E21606">
        <w:rPr>
          <w:rFonts w:cstheme="minorHAnsi"/>
        </w:rPr>
        <w:t>l de W1,</w:t>
      </w:r>
      <w:r w:rsidR="00E16F6C">
        <w:rPr>
          <w:rFonts w:cstheme="minorHAnsi"/>
        </w:rPr>
        <w:t xml:space="preserve"> resuspendiendo el pellet con vó</w:t>
      </w:r>
      <w:r w:rsidRPr="00E21606">
        <w:rPr>
          <w:rFonts w:cstheme="minorHAnsi"/>
        </w:rPr>
        <w:t>rtex y/o micropipeta hasta disgregar todos los agregados. Centrifugar a 10000 rpm durante 30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Repetir pasos 6 y 7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Descartar el SN con micropipeta teniendo cuidado de no perturbar el pellet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Lavar el pellet agregando 900 </w:t>
      </w:r>
      <w:r w:rsidR="00E21606">
        <w:rPr>
          <w:rFonts w:cstheme="minorHAnsi"/>
        </w:rPr>
        <w:t>u</w:t>
      </w:r>
      <w:r w:rsidRPr="00E21606">
        <w:rPr>
          <w:rFonts w:cstheme="minorHAnsi"/>
        </w:rPr>
        <w:t>l de W2,</w:t>
      </w:r>
      <w:r w:rsidR="00C82F91">
        <w:rPr>
          <w:rFonts w:cstheme="minorHAnsi"/>
        </w:rPr>
        <w:t xml:space="preserve"> resuspendiendo el pellet con vó</w:t>
      </w:r>
      <w:r w:rsidRPr="00E21606">
        <w:rPr>
          <w:rFonts w:cstheme="minorHAnsi"/>
        </w:rPr>
        <w:t>rtex y/o micropipeta hasta disgregar todos los agregados. Centrifugar a 10000 rpm durante 30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Descartar el SN con micropipeta teniendo cuidado de no perturbar el pellet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 Repetir pasos 10 y 11.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 Lavar el pellet agregando 900 </w:t>
      </w:r>
      <w:r w:rsidR="00E21606">
        <w:rPr>
          <w:rFonts w:cstheme="minorHAnsi"/>
        </w:rPr>
        <w:t>u</w:t>
      </w:r>
      <w:r w:rsidRPr="00E21606">
        <w:rPr>
          <w:rFonts w:cstheme="minorHAnsi"/>
        </w:rPr>
        <w:t>l de W3,</w:t>
      </w:r>
      <w:r w:rsidR="00C82F91">
        <w:rPr>
          <w:rFonts w:cstheme="minorHAnsi"/>
        </w:rPr>
        <w:t xml:space="preserve"> resuspendiendo el pellet con vó</w:t>
      </w:r>
      <w:r w:rsidRPr="00E21606">
        <w:rPr>
          <w:rFonts w:cstheme="minorHAnsi"/>
        </w:rPr>
        <w:t>rtex y/o micropipeta hasta disgregar todos los agregados. Centrifugar a 10000 rpm durante 30 seg.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Descartar el SN con micropipeta teniendo cuidado de no perturbar el pellet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Dej</w:t>
      </w:r>
      <w:r w:rsidR="00C82F91">
        <w:rPr>
          <w:rFonts w:cstheme="minorHAnsi"/>
        </w:rPr>
        <w:t>ar secar el pellet a 56ºC por 10</w:t>
      </w:r>
      <w:r w:rsidRPr="00E21606">
        <w:rPr>
          <w:rFonts w:cstheme="minorHAnsi"/>
        </w:rPr>
        <w:t xml:space="preserve"> m</w:t>
      </w:r>
      <w:r w:rsidR="00C82F91">
        <w:rPr>
          <w:rFonts w:cstheme="minorHAnsi"/>
        </w:rPr>
        <w:t>in con tapa abierta (en estufa o</w:t>
      </w:r>
      <w:r w:rsidRPr="00E21606">
        <w:rPr>
          <w:rFonts w:cstheme="minorHAnsi"/>
        </w:rPr>
        <w:t xml:space="preserve"> termobloque).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 xml:space="preserve">Agregar 100 </w:t>
      </w:r>
      <w:r w:rsidR="00E21606">
        <w:rPr>
          <w:rFonts w:cstheme="minorHAnsi"/>
        </w:rPr>
        <w:t>u</w:t>
      </w:r>
      <w:r w:rsidRPr="00E21606">
        <w:rPr>
          <w:rFonts w:cstheme="minorHAnsi"/>
        </w:rPr>
        <w:t>l de buffer EB (mantenido previamente a 56ºC) y resuspender el pellet con leves movimientos y dejar incubando por 10 min a 56ºC (esta vez con la tapa del tubo cerrada)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Centrifugar 2 min a 12.000 rpm</w:t>
      </w:r>
      <w:r w:rsidR="00C82F91">
        <w:rPr>
          <w:rFonts w:cstheme="minorHAnsi"/>
        </w:rPr>
        <w:t>.</w:t>
      </w:r>
    </w:p>
    <w:p w:rsidR="000631B6" w:rsidRPr="00E21606" w:rsidRDefault="000631B6" w:rsidP="00F25125">
      <w:pPr>
        <w:numPr>
          <w:ilvl w:val="0"/>
          <w:numId w:val="7"/>
        </w:numPr>
        <w:tabs>
          <w:tab w:val="left" w:pos="450"/>
        </w:tabs>
        <w:spacing w:after="0"/>
        <w:ind w:left="450" w:hanging="450"/>
        <w:rPr>
          <w:rFonts w:cstheme="minorHAnsi"/>
        </w:rPr>
      </w:pPr>
      <w:r w:rsidRPr="00E21606">
        <w:rPr>
          <w:rFonts w:cstheme="minorHAnsi"/>
        </w:rPr>
        <w:t>Pasa</w:t>
      </w:r>
      <w:r w:rsidR="00C82F91">
        <w:rPr>
          <w:rFonts w:cstheme="minorHAnsi"/>
        </w:rPr>
        <w:t>r con mucho cuidado el sobrenada</w:t>
      </w:r>
      <w:r w:rsidRPr="00E21606">
        <w:rPr>
          <w:rFonts w:cstheme="minorHAnsi"/>
        </w:rPr>
        <w:t xml:space="preserve">nte a un tubo de eppendorf </w:t>
      </w:r>
      <w:r w:rsidR="00C82F91" w:rsidRPr="00E21606">
        <w:rPr>
          <w:rFonts w:cstheme="minorHAnsi"/>
        </w:rPr>
        <w:t>estéril</w:t>
      </w:r>
      <w:r w:rsidRPr="00E21606">
        <w:rPr>
          <w:rFonts w:cstheme="minorHAnsi"/>
        </w:rPr>
        <w:t xml:space="preserve"> y guardar a -20 ºC hasta su uso. </w:t>
      </w:r>
    </w:p>
    <w:p w:rsidR="0042418F" w:rsidRDefault="0042418F" w:rsidP="00F25125">
      <w:pPr>
        <w:pStyle w:val="Prrafodelista"/>
        <w:tabs>
          <w:tab w:val="left" w:pos="450"/>
        </w:tabs>
        <w:ind w:left="450" w:hanging="450"/>
        <w:rPr>
          <w:b/>
        </w:rPr>
      </w:pPr>
    </w:p>
    <w:p w:rsidR="001D7454" w:rsidRPr="00250EFB" w:rsidRDefault="001D7454" w:rsidP="00F25125">
      <w:pPr>
        <w:pStyle w:val="Prrafodelista"/>
        <w:numPr>
          <w:ilvl w:val="0"/>
          <w:numId w:val="3"/>
        </w:numPr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  <w:r w:rsidRPr="00250EFB">
        <w:rPr>
          <w:b/>
          <w:lang w:val="es-AR"/>
        </w:rPr>
        <w:t>Preparación de las mezclas de reacción para PCR</w:t>
      </w:r>
    </w:p>
    <w:p w:rsidR="001D7454" w:rsidRDefault="001D7454" w:rsidP="00F25125">
      <w:pPr>
        <w:pStyle w:val="Prrafodelista"/>
        <w:tabs>
          <w:tab w:val="left" w:pos="450"/>
        </w:tabs>
        <w:ind w:left="450" w:hanging="450"/>
        <w:jc w:val="both"/>
        <w:rPr>
          <w:lang w:val="es-AR"/>
        </w:rPr>
      </w:pPr>
    </w:p>
    <w:p w:rsidR="001D7454" w:rsidRPr="00250EFB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 w:rsidRPr="00250EFB">
        <w:rPr>
          <w:lang w:val="es-AR"/>
        </w:rPr>
        <w:t xml:space="preserve">Buffer </w:t>
      </w:r>
      <w:r w:rsidRPr="004C297E">
        <w:rPr>
          <w:i/>
          <w:lang w:val="es-AR"/>
        </w:rPr>
        <w:t>Taq</w:t>
      </w:r>
      <w:r w:rsidRPr="00250EFB">
        <w:rPr>
          <w:lang w:val="es-AR"/>
        </w:rPr>
        <w:t xml:space="preserve"> polimerasa 10X</w:t>
      </w:r>
      <w:r>
        <w:rPr>
          <w:lang w:val="es-AR"/>
        </w:rPr>
        <w:tab/>
      </w:r>
      <w:r>
        <w:rPr>
          <w:lang w:val="es-AR"/>
        </w:rPr>
        <w:tab/>
        <w:t>5ul</w:t>
      </w:r>
    </w:p>
    <w:p w:rsidR="001D7454" w:rsidRPr="00250EFB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 w:rsidRPr="00250EFB">
        <w:rPr>
          <w:lang w:val="es-AR"/>
        </w:rPr>
        <w:t>MgCl</w:t>
      </w:r>
      <w:r w:rsidRPr="00250EFB">
        <w:rPr>
          <w:vertAlign w:val="subscript"/>
          <w:lang w:val="es-AR"/>
        </w:rPr>
        <w:t>2</w:t>
      </w:r>
      <w:r w:rsidRPr="00250EFB">
        <w:rPr>
          <w:lang w:val="es-AR"/>
        </w:rPr>
        <w:t xml:space="preserve"> 25 mM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5ul</w:t>
      </w:r>
      <w:r>
        <w:rPr>
          <w:lang w:val="es-AR"/>
        </w:rPr>
        <w:tab/>
      </w:r>
      <w:r>
        <w:rPr>
          <w:lang w:val="es-AR"/>
        </w:rPr>
        <w:tab/>
      </w:r>
    </w:p>
    <w:p w:rsidR="001D7454" w:rsidRPr="00250EFB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 w:rsidRPr="00250EFB">
        <w:rPr>
          <w:lang w:val="es-AR"/>
        </w:rPr>
        <w:t>dNTPs 5 mM c/u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1ul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>
        <w:rPr>
          <w:lang w:val="es-AR"/>
        </w:rPr>
        <w:t>primer Fw 20</w:t>
      </w:r>
      <w:r w:rsidR="00C82F91">
        <w:rPr>
          <w:lang w:val="es-AR"/>
        </w:rPr>
        <w:t xml:space="preserve"> </w:t>
      </w:r>
      <w:r>
        <w:rPr>
          <w:lang w:val="es-AR"/>
        </w:rPr>
        <w:t>uM  (S35)</w:t>
      </w:r>
      <w:r>
        <w:rPr>
          <w:lang w:val="es-AR"/>
        </w:rPr>
        <w:tab/>
      </w:r>
      <w:r>
        <w:rPr>
          <w:lang w:val="es-AR"/>
        </w:rPr>
        <w:tab/>
        <w:t>1ul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>
        <w:rPr>
          <w:lang w:val="es-AR"/>
        </w:rPr>
        <w:t>primer Rv 20</w:t>
      </w:r>
      <w:r w:rsidR="00C82F91">
        <w:rPr>
          <w:lang w:val="es-AR"/>
        </w:rPr>
        <w:t xml:space="preserve"> </w:t>
      </w:r>
      <w:r>
        <w:rPr>
          <w:lang w:val="es-AR"/>
        </w:rPr>
        <w:t>uM   (S36)</w:t>
      </w:r>
      <w:r>
        <w:rPr>
          <w:lang w:val="es-AR"/>
        </w:rPr>
        <w:tab/>
      </w:r>
      <w:r>
        <w:rPr>
          <w:lang w:val="es-AR"/>
        </w:rPr>
        <w:tab/>
        <w:t>1ul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>
        <w:rPr>
          <w:lang w:val="es-AR"/>
        </w:rPr>
        <w:t>H</w:t>
      </w:r>
      <w:r w:rsidRPr="002D0D0D">
        <w:rPr>
          <w:vertAlign w:val="subscript"/>
          <w:lang w:val="es-AR"/>
        </w:rPr>
        <w:t>2</w:t>
      </w:r>
      <w:r>
        <w:rPr>
          <w:lang w:val="es-AR"/>
        </w:rPr>
        <w:t>O</w:t>
      </w:r>
      <w:r>
        <w:rPr>
          <w:lang w:val="es-AR"/>
        </w:rPr>
        <w:tab/>
        <w:t>(csp Vf: 50ul)</w:t>
      </w:r>
      <w:r>
        <w:rPr>
          <w:lang w:val="es-AR"/>
        </w:rPr>
        <w:tab/>
        <w:t xml:space="preserve">            34ul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>
        <w:rPr>
          <w:lang w:val="es-AR"/>
        </w:rPr>
        <w:t>-----------------------------------------------------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>
        <w:rPr>
          <w:lang w:val="es-AR"/>
        </w:rPr>
        <w:t>ADN muestra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2ul</w:t>
      </w:r>
    </w:p>
    <w:p w:rsidR="001D7454" w:rsidRDefault="001D7454" w:rsidP="0047557A">
      <w:pPr>
        <w:pStyle w:val="Prrafodelista"/>
        <w:tabs>
          <w:tab w:val="left" w:pos="450"/>
        </w:tabs>
        <w:ind w:left="450"/>
        <w:jc w:val="both"/>
        <w:rPr>
          <w:lang w:val="es-AR"/>
        </w:rPr>
      </w:pPr>
      <w:r w:rsidRPr="004C297E">
        <w:rPr>
          <w:i/>
          <w:lang w:val="es-AR"/>
        </w:rPr>
        <w:t>Taq</w:t>
      </w:r>
      <w:r w:rsidRPr="00250EFB">
        <w:rPr>
          <w:lang w:val="es-AR"/>
        </w:rPr>
        <w:t xml:space="preserve"> </w:t>
      </w:r>
      <w:r>
        <w:rPr>
          <w:lang w:val="es-AR"/>
        </w:rPr>
        <w:t xml:space="preserve">ADN </w:t>
      </w:r>
      <w:r w:rsidRPr="00250EFB">
        <w:rPr>
          <w:lang w:val="es-AR"/>
        </w:rPr>
        <w:t>polimerasa</w:t>
      </w:r>
      <w:r>
        <w:rPr>
          <w:lang w:val="es-AR"/>
        </w:rPr>
        <w:tab/>
      </w:r>
      <w:r>
        <w:rPr>
          <w:lang w:val="es-AR"/>
        </w:rPr>
        <w:tab/>
        <w:t>1ul</w:t>
      </w:r>
    </w:p>
    <w:p w:rsidR="001D7454" w:rsidRDefault="001D7454" w:rsidP="00F25125">
      <w:pPr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</w:p>
    <w:p w:rsidR="001D7454" w:rsidRPr="004C297E" w:rsidRDefault="001D7454" w:rsidP="00F25125">
      <w:pPr>
        <w:pStyle w:val="Prrafodelista"/>
        <w:numPr>
          <w:ilvl w:val="0"/>
          <w:numId w:val="3"/>
        </w:numPr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  <w:r w:rsidRPr="00250EFB">
        <w:rPr>
          <w:b/>
          <w:lang w:val="es-AR"/>
        </w:rPr>
        <w:t>Ciclado</w:t>
      </w:r>
    </w:p>
    <w:p w:rsidR="001D7454" w:rsidRPr="00250EFB" w:rsidRDefault="001D7454" w:rsidP="00F25125">
      <w:pPr>
        <w:pStyle w:val="Prrafodelista"/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</w:p>
    <w:p w:rsidR="001D7454" w:rsidRDefault="001D7454" w:rsidP="00F25125">
      <w:pPr>
        <w:pStyle w:val="Prrafodelista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 xml:space="preserve">Desnaturalización inicial: </w:t>
      </w:r>
      <w:r>
        <w:rPr>
          <w:lang w:val="es-AR"/>
        </w:rPr>
        <w:tab/>
        <w:t>94ºC</w:t>
      </w:r>
      <w:r>
        <w:rPr>
          <w:lang w:val="es-AR"/>
        </w:rPr>
        <w:tab/>
        <w:t xml:space="preserve">5 min  </w:t>
      </w:r>
      <w:r>
        <w:rPr>
          <w:lang w:val="es-AR"/>
        </w:rPr>
        <w:tab/>
      </w:r>
    </w:p>
    <w:p w:rsidR="001D7454" w:rsidRDefault="00C82F91" w:rsidP="00F25125">
      <w:pPr>
        <w:pStyle w:val="Prrafodelista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138430</wp:posOffset>
                </wp:positionV>
                <wp:extent cx="732790" cy="278765"/>
                <wp:effectExtent l="0" t="0" r="190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06" w:rsidRDefault="00E21606" w:rsidP="001D745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35 ciclos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9pt;margin-top:10.9pt;width:57.7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" stroked="f">
                <v:textbox>
                  <w:txbxContent>
                    <w:p w:rsidR="00E21606" w:rsidRDefault="00E21606" w:rsidP="001D745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35 ciclos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5080</wp:posOffset>
                </wp:positionV>
                <wp:extent cx="142875" cy="535940"/>
                <wp:effectExtent l="5715" t="5080" r="1333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535940"/>
                        </a:xfrm>
                        <a:prstGeom prst="rightBrace">
                          <a:avLst>
                            <a:gd name="adj1" fmla="val 312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212.7pt;margin-top:.4pt;width:11.25pt;height: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"/>
            </w:pict>
          </mc:Fallback>
        </mc:AlternateContent>
      </w:r>
      <w:r w:rsidR="001D7454">
        <w:rPr>
          <w:lang w:val="es-AR"/>
        </w:rPr>
        <w:t xml:space="preserve">Desnaturalización: </w:t>
      </w:r>
      <w:r w:rsidR="001D7454">
        <w:rPr>
          <w:lang w:val="es-AR"/>
        </w:rPr>
        <w:tab/>
        <w:t>94ºC</w:t>
      </w:r>
      <w:r w:rsidR="001D7454">
        <w:rPr>
          <w:lang w:val="es-AR"/>
        </w:rPr>
        <w:tab/>
        <w:t xml:space="preserve">40  seg </w:t>
      </w:r>
      <w:r w:rsidR="001D7454">
        <w:rPr>
          <w:lang w:val="es-AR"/>
        </w:rPr>
        <w:tab/>
      </w:r>
    </w:p>
    <w:p w:rsidR="001D7454" w:rsidRDefault="001D7454" w:rsidP="00F25125">
      <w:pPr>
        <w:pStyle w:val="Prrafodelista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>Anillado: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57ºC</w:t>
      </w:r>
      <w:r>
        <w:rPr>
          <w:lang w:val="es-AR"/>
        </w:rPr>
        <w:tab/>
        <w:t xml:space="preserve">40  seg </w:t>
      </w:r>
      <w:r>
        <w:rPr>
          <w:lang w:val="es-AR"/>
        </w:rPr>
        <w:tab/>
      </w:r>
    </w:p>
    <w:p w:rsidR="001D7454" w:rsidRDefault="001D7454" w:rsidP="00F25125">
      <w:pPr>
        <w:pStyle w:val="Prrafodelista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lastRenderedPageBreak/>
        <w:t>Elongación:</w:t>
      </w:r>
      <w:r>
        <w:rPr>
          <w:lang w:val="es-AR"/>
        </w:rPr>
        <w:tab/>
      </w:r>
      <w:r>
        <w:rPr>
          <w:lang w:val="es-AR"/>
        </w:rPr>
        <w:tab/>
        <w:t>72ºC</w:t>
      </w:r>
      <w:r>
        <w:rPr>
          <w:lang w:val="es-AR"/>
        </w:rPr>
        <w:tab/>
        <w:t xml:space="preserve">1 min </w:t>
      </w:r>
      <w:r>
        <w:rPr>
          <w:lang w:val="es-AR"/>
        </w:rPr>
        <w:tab/>
      </w:r>
    </w:p>
    <w:p w:rsidR="001D7454" w:rsidRDefault="001D7454" w:rsidP="00F25125">
      <w:pPr>
        <w:pStyle w:val="Prrafodelista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>Elongación final:</w:t>
      </w:r>
      <w:r>
        <w:rPr>
          <w:lang w:val="es-AR"/>
        </w:rPr>
        <w:tab/>
      </w:r>
      <w:r>
        <w:rPr>
          <w:lang w:val="es-AR"/>
        </w:rPr>
        <w:tab/>
        <w:t>72ºC</w:t>
      </w:r>
      <w:r>
        <w:rPr>
          <w:lang w:val="es-AR"/>
        </w:rPr>
        <w:tab/>
        <w:t>5 min</w:t>
      </w:r>
    </w:p>
    <w:p w:rsidR="001D7454" w:rsidRDefault="001D7454" w:rsidP="00F25125">
      <w:pPr>
        <w:pStyle w:val="Prrafodelista"/>
        <w:tabs>
          <w:tab w:val="left" w:pos="450"/>
        </w:tabs>
        <w:ind w:left="450" w:hanging="450"/>
        <w:jc w:val="both"/>
        <w:rPr>
          <w:lang w:val="es-AR"/>
        </w:rPr>
      </w:pPr>
    </w:p>
    <w:p w:rsidR="001D7454" w:rsidRPr="00250EFB" w:rsidRDefault="001D7454" w:rsidP="00F25125">
      <w:pPr>
        <w:pStyle w:val="Prrafodelista"/>
        <w:tabs>
          <w:tab w:val="left" w:pos="450"/>
        </w:tabs>
        <w:ind w:left="450" w:hanging="450"/>
        <w:jc w:val="both"/>
        <w:rPr>
          <w:lang w:val="es-AR"/>
        </w:rPr>
      </w:pPr>
    </w:p>
    <w:p w:rsidR="001D7454" w:rsidRPr="0020173F" w:rsidRDefault="001D7454" w:rsidP="00F25125">
      <w:pPr>
        <w:pStyle w:val="Prrafodelista"/>
        <w:numPr>
          <w:ilvl w:val="0"/>
          <w:numId w:val="3"/>
        </w:numPr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  <w:r w:rsidRPr="00250EFB">
        <w:rPr>
          <w:b/>
          <w:lang w:val="es-AR"/>
        </w:rPr>
        <w:t xml:space="preserve">Análisis de los productos de PCR. Electroforesis en geles de agarosa. </w:t>
      </w:r>
    </w:p>
    <w:p w:rsidR="001D7454" w:rsidRPr="00250EFB" w:rsidRDefault="001D7454" w:rsidP="00F25125">
      <w:pPr>
        <w:pStyle w:val="Prrafodelista"/>
        <w:tabs>
          <w:tab w:val="left" w:pos="450"/>
        </w:tabs>
        <w:ind w:left="450" w:hanging="450"/>
        <w:jc w:val="both"/>
        <w:rPr>
          <w:b/>
          <w:u w:val="single"/>
          <w:lang w:val="es-AR"/>
        </w:rPr>
      </w:pPr>
    </w:p>
    <w:p w:rsidR="001D7454" w:rsidRDefault="001D7454" w:rsidP="00F25125">
      <w:pPr>
        <w:pStyle w:val="Prrafodelista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>Preparar un gel de agarosa 1,5</w:t>
      </w:r>
      <w:r w:rsidRPr="0020173F">
        <w:rPr>
          <w:lang w:val="es-AR"/>
        </w:rPr>
        <w:t>% en buffer TAE 0.5X</w:t>
      </w:r>
      <w:r>
        <w:rPr>
          <w:lang w:val="es-AR"/>
        </w:rPr>
        <w:t>, con colorante “Gel Green” (dilución 1/30000)</w:t>
      </w:r>
      <w:r w:rsidR="00C82F91">
        <w:rPr>
          <w:lang w:val="es-AR"/>
        </w:rPr>
        <w:t>.</w:t>
      </w:r>
    </w:p>
    <w:p w:rsidR="001D7454" w:rsidRDefault="001D7454" w:rsidP="00F25125">
      <w:pPr>
        <w:pStyle w:val="Prrafodelista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>Sembrar 20</w:t>
      </w:r>
      <w:r w:rsidR="00C82F91">
        <w:rPr>
          <w:lang w:val="es-AR"/>
        </w:rPr>
        <w:t xml:space="preserve"> </w:t>
      </w:r>
      <w:r>
        <w:rPr>
          <w:lang w:val="es-AR"/>
        </w:rPr>
        <w:t>ul de la PCR con loa</w:t>
      </w:r>
      <w:r w:rsidR="00C82F91">
        <w:rPr>
          <w:lang w:val="es-AR"/>
        </w:rPr>
        <w:t>d</w:t>
      </w:r>
      <w:r>
        <w:rPr>
          <w:lang w:val="es-AR"/>
        </w:rPr>
        <w:t>ding buffer</w:t>
      </w:r>
      <w:r w:rsidR="00C82F91">
        <w:rPr>
          <w:lang w:val="es-AR"/>
        </w:rPr>
        <w:t>.</w:t>
      </w:r>
    </w:p>
    <w:p w:rsidR="0042418F" w:rsidRPr="002E0E37" w:rsidRDefault="001D7454" w:rsidP="002E0E37">
      <w:pPr>
        <w:pStyle w:val="Prrafodelista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lang w:val="es-AR"/>
        </w:rPr>
      </w:pPr>
      <w:r>
        <w:rPr>
          <w:lang w:val="es-AR"/>
        </w:rPr>
        <w:t>Correr a 80-150V y observar en transiluminador de luz azul o UV.</w:t>
      </w:r>
    </w:p>
    <w:p w:rsidR="002403A3" w:rsidRPr="001D7454" w:rsidRDefault="002403A3" w:rsidP="00F25125">
      <w:pPr>
        <w:pStyle w:val="Prrafodelista"/>
        <w:tabs>
          <w:tab w:val="left" w:pos="450"/>
        </w:tabs>
        <w:ind w:left="450" w:hanging="450"/>
        <w:rPr>
          <w:b/>
          <w:lang w:val="es-AR"/>
        </w:rPr>
      </w:pPr>
    </w:p>
    <w:p w:rsidR="00E21606" w:rsidRDefault="00E90906" w:rsidP="00F25125">
      <w:pPr>
        <w:pStyle w:val="Prrafodelista"/>
        <w:numPr>
          <w:ilvl w:val="0"/>
          <w:numId w:val="8"/>
        </w:numPr>
        <w:tabs>
          <w:tab w:val="left" w:pos="450"/>
        </w:tabs>
        <w:ind w:left="450" w:hanging="45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Detección de tripomastigotes </w:t>
      </w:r>
      <w:r w:rsidR="00B873FE">
        <w:rPr>
          <w:b/>
          <w:sz w:val="24"/>
          <w:szCs w:val="24"/>
          <w:u w:val="single"/>
        </w:rPr>
        <w:t xml:space="preserve">sanguíneos </w:t>
      </w:r>
      <w:r w:rsidR="00E21606" w:rsidRPr="00E21606">
        <w:rPr>
          <w:b/>
          <w:sz w:val="24"/>
          <w:szCs w:val="24"/>
          <w:u w:val="single"/>
        </w:rPr>
        <w:t xml:space="preserve">mediante </w:t>
      </w:r>
      <w:r w:rsidR="00E21606">
        <w:rPr>
          <w:b/>
          <w:sz w:val="24"/>
          <w:szCs w:val="24"/>
          <w:u w:val="single"/>
        </w:rPr>
        <w:t xml:space="preserve">la técnica </w:t>
      </w:r>
      <w:r>
        <w:rPr>
          <w:b/>
          <w:sz w:val="24"/>
          <w:szCs w:val="24"/>
          <w:u w:val="single"/>
        </w:rPr>
        <w:t>de Strout (micrométodo</w:t>
      </w:r>
      <w:r w:rsidR="002403A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tubo)</w:t>
      </w:r>
    </w:p>
    <w:p w:rsidR="00B873FE" w:rsidRPr="00E21606" w:rsidRDefault="00B873FE" w:rsidP="0047557A">
      <w:pPr>
        <w:tabs>
          <w:tab w:val="left" w:pos="450"/>
        </w:tabs>
        <w:ind w:left="450" w:hanging="450"/>
        <w:jc w:val="center"/>
      </w:pPr>
      <w:r w:rsidRPr="00B873FE">
        <w:rPr>
          <w:noProof/>
          <w:lang w:val="es-AR" w:eastAsia="es-AR"/>
        </w:rPr>
        <w:drawing>
          <wp:inline distT="0" distB="0" distL="0" distR="0">
            <wp:extent cx="4157491" cy="3118118"/>
            <wp:effectExtent l="19050" t="0" r="0" b="0"/>
            <wp:docPr id="3" name="Imagen 3" descr="Algoritmo de trabajo para el micromét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goritmo de trabajo para el micrométod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32" cy="3119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FE" w:rsidRDefault="00B873FE" w:rsidP="0047557A">
      <w:pPr>
        <w:tabs>
          <w:tab w:val="left" w:pos="0"/>
        </w:tabs>
        <w:ind w:firstLine="720"/>
        <w:jc w:val="both"/>
        <w:rPr>
          <w:rFonts w:cstheme="minorHAnsi"/>
        </w:rPr>
      </w:pPr>
      <w:r w:rsidRPr="00B873FE">
        <w:rPr>
          <w:rFonts w:cstheme="minorHAnsi"/>
        </w:rPr>
        <w:t>Para el nuevo "micrométodo", se utiliza un tubo Eppendorf de 1,5 ml de capacidad al que se le agrega una gota de heparina más 0,5</w:t>
      </w:r>
      <w:r>
        <w:rPr>
          <w:rFonts w:cstheme="minorHAnsi"/>
        </w:rPr>
        <w:t xml:space="preserve"> o 1</w:t>
      </w:r>
      <w:r w:rsidRPr="00B873FE">
        <w:rPr>
          <w:rFonts w:cstheme="minorHAnsi"/>
        </w:rPr>
        <w:t xml:space="preserve"> ml de sangre venosa, se mezcla por inversión y se centrifuga durante dos minutos a 3000 rpm. Se toma una gota de la interfase, rica en glóbulos blancos, y se observa entre porta y cubreobjeto al microscopio con 400 aumentos. Se deben realizar como mínimo dos preparados que deben ser observados durante no menos de 15 minutos cada uno antes de considerarlos negativos. </w:t>
      </w:r>
    </w:p>
    <w:p w:rsidR="002403A3" w:rsidRPr="002403A3" w:rsidRDefault="002403A3" w:rsidP="002403A3">
      <w:pPr>
        <w:tabs>
          <w:tab w:val="left" w:pos="0"/>
        </w:tabs>
        <w:spacing w:line="240" w:lineRule="auto"/>
        <w:ind w:firstLine="720"/>
        <w:jc w:val="both"/>
        <w:rPr>
          <w:rFonts w:cstheme="minorHAnsi"/>
          <w:sz w:val="16"/>
          <w:szCs w:val="16"/>
        </w:rPr>
      </w:pPr>
    </w:p>
    <w:p w:rsidR="00B873FE" w:rsidRDefault="00B873FE" w:rsidP="0047557A">
      <w:pPr>
        <w:tabs>
          <w:tab w:val="left" w:pos="450"/>
        </w:tabs>
        <w:ind w:left="450" w:hanging="450"/>
        <w:jc w:val="center"/>
      </w:pPr>
      <w:r w:rsidRPr="00B873FE">
        <w:rPr>
          <w:noProof/>
          <w:lang w:val="es-AR" w:eastAsia="es-AR"/>
        </w:rPr>
        <w:lastRenderedPageBreak/>
        <w:drawing>
          <wp:inline distT="0" distB="0" distL="0" distR="0">
            <wp:extent cx="3927229" cy="2945423"/>
            <wp:effectExtent l="19050" t="0" r="0" b="0"/>
            <wp:docPr id="2" name="Imagen 2" descr="lectura de los prepa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ctura de los preparad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12" cy="294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3FE" w:rsidRPr="002403A3" w:rsidRDefault="00B873FE" w:rsidP="0047557A">
      <w:pPr>
        <w:tabs>
          <w:tab w:val="left" w:pos="-270"/>
        </w:tabs>
        <w:spacing w:after="0" w:line="240" w:lineRule="auto"/>
        <w:rPr>
          <w:sz w:val="20"/>
          <w:szCs w:val="20"/>
          <w:u w:val="single"/>
        </w:rPr>
      </w:pPr>
      <w:r w:rsidRPr="002403A3">
        <w:rPr>
          <w:sz w:val="20"/>
          <w:szCs w:val="20"/>
          <w:u w:val="single"/>
        </w:rPr>
        <w:t xml:space="preserve">RESOLUCION 1870/2006   -  MINISTERIO DE SALUD (M.S.) </w:t>
      </w:r>
    </w:p>
    <w:p w:rsidR="00DF14A2" w:rsidRPr="002403A3" w:rsidRDefault="00B873FE" w:rsidP="002403A3">
      <w:pPr>
        <w:tabs>
          <w:tab w:val="left" w:pos="-270"/>
        </w:tabs>
        <w:spacing w:after="0" w:line="240" w:lineRule="auto"/>
        <w:rPr>
          <w:b/>
          <w:sz w:val="20"/>
          <w:szCs w:val="20"/>
        </w:rPr>
      </w:pPr>
      <w:r w:rsidRPr="002403A3">
        <w:rPr>
          <w:sz w:val="20"/>
          <w:szCs w:val="20"/>
        </w:rPr>
        <w:t>Guías para la Atención al Paci</w:t>
      </w:r>
      <w:r w:rsidR="00C82F91">
        <w:rPr>
          <w:sz w:val="20"/>
          <w:szCs w:val="20"/>
        </w:rPr>
        <w:t xml:space="preserve">ente Infectado con </w:t>
      </w:r>
      <w:r w:rsidR="00C82F91">
        <w:rPr>
          <w:i/>
          <w:sz w:val="20"/>
          <w:szCs w:val="20"/>
        </w:rPr>
        <w:t xml:space="preserve">Trypanosoma </w:t>
      </w:r>
      <w:r w:rsidR="00C82F91" w:rsidRPr="00C82F91">
        <w:rPr>
          <w:i/>
          <w:sz w:val="20"/>
          <w:szCs w:val="20"/>
        </w:rPr>
        <w:t>c</w:t>
      </w:r>
      <w:r w:rsidRPr="00C82F91">
        <w:rPr>
          <w:i/>
          <w:sz w:val="20"/>
          <w:szCs w:val="20"/>
        </w:rPr>
        <w:t>ruzi</w:t>
      </w:r>
      <w:r w:rsidRPr="002403A3">
        <w:rPr>
          <w:sz w:val="20"/>
          <w:szCs w:val="20"/>
        </w:rPr>
        <w:t xml:space="preserve"> (Enfermedad de Chagas). Incorporación al Programa Nacional de Garantía de Calidad de la Atención Médica del 23/11/2006; Boletín Oficial 28/11/2006 </w:t>
      </w:r>
    </w:p>
    <w:sectPr w:rsidR="00DF14A2" w:rsidRPr="002403A3" w:rsidSect="002403A3">
      <w:footerReference w:type="default" r:id="rId11"/>
      <w:pgSz w:w="12240" w:h="15840"/>
      <w:pgMar w:top="1417" w:right="990" w:bottom="63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16" w:rsidRDefault="003D4716" w:rsidP="0047557A">
      <w:pPr>
        <w:spacing w:after="0" w:line="240" w:lineRule="auto"/>
      </w:pPr>
      <w:r>
        <w:separator/>
      </w:r>
    </w:p>
  </w:endnote>
  <w:endnote w:type="continuationSeparator" w:id="0">
    <w:p w:rsidR="003D4716" w:rsidRDefault="003D4716" w:rsidP="0047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28056"/>
      <w:docPartObj>
        <w:docPartGallery w:val="Page Numbers (Bottom of Page)"/>
        <w:docPartUnique/>
      </w:docPartObj>
    </w:sdtPr>
    <w:sdtEndPr/>
    <w:sdtContent>
      <w:p w:rsidR="002403A3" w:rsidRDefault="008578CE">
        <w:pPr>
          <w:pStyle w:val="Piedepgina"/>
          <w:jc w:val="center"/>
        </w:pPr>
        <w:r w:rsidRPr="002403A3">
          <w:rPr>
            <w:sz w:val="16"/>
            <w:szCs w:val="16"/>
          </w:rPr>
          <w:fldChar w:fldCharType="begin"/>
        </w:r>
        <w:r w:rsidR="002403A3" w:rsidRPr="002403A3">
          <w:rPr>
            <w:sz w:val="16"/>
            <w:szCs w:val="16"/>
          </w:rPr>
          <w:instrText xml:space="preserve"> PAGE   \* MERGEFORMAT </w:instrText>
        </w:r>
        <w:r w:rsidRPr="002403A3">
          <w:rPr>
            <w:sz w:val="16"/>
            <w:szCs w:val="16"/>
          </w:rPr>
          <w:fldChar w:fldCharType="separate"/>
        </w:r>
        <w:r w:rsidR="00C82F91">
          <w:rPr>
            <w:noProof/>
            <w:sz w:val="16"/>
            <w:szCs w:val="16"/>
          </w:rPr>
          <w:t>1</w:t>
        </w:r>
        <w:r w:rsidRPr="002403A3">
          <w:rPr>
            <w:sz w:val="16"/>
            <w:szCs w:val="16"/>
          </w:rPr>
          <w:fldChar w:fldCharType="end"/>
        </w:r>
      </w:p>
    </w:sdtContent>
  </w:sdt>
  <w:p w:rsidR="0047557A" w:rsidRDefault="004755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16" w:rsidRDefault="003D4716" w:rsidP="0047557A">
      <w:pPr>
        <w:spacing w:after="0" w:line="240" w:lineRule="auto"/>
      </w:pPr>
      <w:r>
        <w:separator/>
      </w:r>
    </w:p>
  </w:footnote>
  <w:footnote w:type="continuationSeparator" w:id="0">
    <w:p w:rsidR="003D4716" w:rsidRDefault="003D4716" w:rsidP="0047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08A"/>
    <w:multiLevelType w:val="hybridMultilevel"/>
    <w:tmpl w:val="970C40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B77FC"/>
    <w:multiLevelType w:val="hybridMultilevel"/>
    <w:tmpl w:val="FA04F236"/>
    <w:lvl w:ilvl="0" w:tplc="540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D59FA"/>
    <w:multiLevelType w:val="hybridMultilevel"/>
    <w:tmpl w:val="403224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E778C"/>
    <w:multiLevelType w:val="hybridMultilevel"/>
    <w:tmpl w:val="E8DCC96C"/>
    <w:lvl w:ilvl="0" w:tplc="B0CAC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829FF"/>
    <w:multiLevelType w:val="hybridMultilevel"/>
    <w:tmpl w:val="6A42C4D4"/>
    <w:lvl w:ilvl="0" w:tplc="540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350" w:hanging="360"/>
      </w:pPr>
    </w:lvl>
    <w:lvl w:ilvl="2" w:tplc="540A001B" w:tentative="1">
      <w:start w:val="1"/>
      <w:numFmt w:val="lowerRoman"/>
      <w:lvlText w:val="%3."/>
      <w:lvlJc w:val="right"/>
      <w:pPr>
        <w:ind w:left="2070" w:hanging="180"/>
      </w:pPr>
    </w:lvl>
    <w:lvl w:ilvl="3" w:tplc="540A000F" w:tentative="1">
      <w:start w:val="1"/>
      <w:numFmt w:val="decimal"/>
      <w:lvlText w:val="%4."/>
      <w:lvlJc w:val="left"/>
      <w:pPr>
        <w:ind w:left="2790" w:hanging="360"/>
      </w:pPr>
    </w:lvl>
    <w:lvl w:ilvl="4" w:tplc="540A0019" w:tentative="1">
      <w:start w:val="1"/>
      <w:numFmt w:val="lowerLetter"/>
      <w:lvlText w:val="%5."/>
      <w:lvlJc w:val="left"/>
      <w:pPr>
        <w:ind w:left="3510" w:hanging="360"/>
      </w:pPr>
    </w:lvl>
    <w:lvl w:ilvl="5" w:tplc="540A001B" w:tentative="1">
      <w:start w:val="1"/>
      <w:numFmt w:val="lowerRoman"/>
      <w:lvlText w:val="%6."/>
      <w:lvlJc w:val="right"/>
      <w:pPr>
        <w:ind w:left="4230" w:hanging="180"/>
      </w:pPr>
    </w:lvl>
    <w:lvl w:ilvl="6" w:tplc="540A000F" w:tentative="1">
      <w:start w:val="1"/>
      <w:numFmt w:val="decimal"/>
      <w:lvlText w:val="%7."/>
      <w:lvlJc w:val="left"/>
      <w:pPr>
        <w:ind w:left="4950" w:hanging="360"/>
      </w:pPr>
    </w:lvl>
    <w:lvl w:ilvl="7" w:tplc="540A0019" w:tentative="1">
      <w:start w:val="1"/>
      <w:numFmt w:val="lowerLetter"/>
      <w:lvlText w:val="%8."/>
      <w:lvlJc w:val="left"/>
      <w:pPr>
        <w:ind w:left="5670" w:hanging="360"/>
      </w:pPr>
    </w:lvl>
    <w:lvl w:ilvl="8" w:tplc="5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4F96E49"/>
    <w:multiLevelType w:val="hybridMultilevel"/>
    <w:tmpl w:val="403224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347B7"/>
    <w:multiLevelType w:val="hybridMultilevel"/>
    <w:tmpl w:val="E662D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6603"/>
    <w:multiLevelType w:val="hybridMultilevel"/>
    <w:tmpl w:val="E8DCC96C"/>
    <w:lvl w:ilvl="0" w:tplc="B0CAC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16195"/>
    <w:multiLevelType w:val="hybridMultilevel"/>
    <w:tmpl w:val="AFBE8508"/>
    <w:lvl w:ilvl="0" w:tplc="540A000F">
      <w:start w:val="1"/>
      <w:numFmt w:val="decimal"/>
      <w:lvlText w:val="%1."/>
      <w:lvlJc w:val="lef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A2"/>
    <w:rsid w:val="0002045A"/>
    <w:rsid w:val="000631B6"/>
    <w:rsid w:val="000738D1"/>
    <w:rsid w:val="000A5C98"/>
    <w:rsid w:val="000F081E"/>
    <w:rsid w:val="001D7454"/>
    <w:rsid w:val="002403A3"/>
    <w:rsid w:val="002E0E37"/>
    <w:rsid w:val="00381186"/>
    <w:rsid w:val="003D4716"/>
    <w:rsid w:val="003E3932"/>
    <w:rsid w:val="0042418F"/>
    <w:rsid w:val="0047557A"/>
    <w:rsid w:val="004B1A27"/>
    <w:rsid w:val="005017E2"/>
    <w:rsid w:val="005949F1"/>
    <w:rsid w:val="006372B9"/>
    <w:rsid w:val="007A6C88"/>
    <w:rsid w:val="008578CE"/>
    <w:rsid w:val="00946BAD"/>
    <w:rsid w:val="00A45F32"/>
    <w:rsid w:val="00AB4451"/>
    <w:rsid w:val="00B873FE"/>
    <w:rsid w:val="00BE21AE"/>
    <w:rsid w:val="00C82F91"/>
    <w:rsid w:val="00CB73D3"/>
    <w:rsid w:val="00D1221A"/>
    <w:rsid w:val="00DD09A5"/>
    <w:rsid w:val="00DF14A2"/>
    <w:rsid w:val="00E16F6C"/>
    <w:rsid w:val="00E21606"/>
    <w:rsid w:val="00E46425"/>
    <w:rsid w:val="00E8576B"/>
    <w:rsid w:val="00E90906"/>
    <w:rsid w:val="00F25125"/>
    <w:rsid w:val="00F5598B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4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57A"/>
  </w:style>
  <w:style w:type="paragraph" w:styleId="Piedepgina">
    <w:name w:val="footer"/>
    <w:basedOn w:val="Normal"/>
    <w:link w:val="PiedepginaCar"/>
    <w:uiPriority w:val="99"/>
    <w:unhideWhenUsed/>
    <w:rsid w:val="00475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57A"/>
  </w:style>
  <w:style w:type="paragraph" w:styleId="Textodeglobo">
    <w:name w:val="Balloon Text"/>
    <w:basedOn w:val="Normal"/>
    <w:link w:val="TextodegloboCar"/>
    <w:uiPriority w:val="99"/>
    <w:semiHidden/>
    <w:unhideWhenUsed/>
    <w:rsid w:val="00F559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98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4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475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557A"/>
  </w:style>
  <w:style w:type="paragraph" w:styleId="Piedepgina">
    <w:name w:val="footer"/>
    <w:basedOn w:val="Normal"/>
    <w:link w:val="PiedepginaCar"/>
    <w:uiPriority w:val="99"/>
    <w:unhideWhenUsed/>
    <w:rsid w:val="00475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57A"/>
  </w:style>
  <w:style w:type="paragraph" w:styleId="Textodeglobo">
    <w:name w:val="Balloon Text"/>
    <w:basedOn w:val="Normal"/>
    <w:link w:val="TextodegloboCar"/>
    <w:uiPriority w:val="99"/>
    <w:semiHidden/>
    <w:unhideWhenUsed/>
    <w:rsid w:val="00F559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98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General</cp:lastModifiedBy>
  <cp:revision>2</cp:revision>
  <cp:lastPrinted>2011-09-26T20:54:00Z</cp:lastPrinted>
  <dcterms:created xsi:type="dcterms:W3CDTF">2019-08-13T13:48:00Z</dcterms:created>
  <dcterms:modified xsi:type="dcterms:W3CDTF">2019-08-13T13:48:00Z</dcterms:modified>
</cp:coreProperties>
</file>