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2EB" w:rsidRDefault="00C867E7">
      <w:pPr>
        <w:spacing w:after="200"/>
        <w:ind w:left="440"/>
        <w:jc w:val="center"/>
        <w:rPr>
          <w:b/>
          <w:smallCaps/>
          <w:sz w:val="52"/>
          <w:szCs w:val="52"/>
        </w:rPr>
      </w:pPr>
      <w:bookmarkStart w:id="0" w:name="_GoBack"/>
      <w:bookmarkEnd w:id="0"/>
      <w:r>
        <w:rPr>
          <w:b/>
          <w:smallCaps/>
          <w:sz w:val="52"/>
          <w:szCs w:val="52"/>
        </w:rPr>
        <w:t>ALTERACIÓN DE LA FERTILIDAD POR FACTORES EXTRÍNSECOS: ENFERMEDADES GENÉTICOS Y ENFERMEDADES CRÓNICAS.</w:t>
      </w:r>
    </w:p>
    <w:p w:rsidR="00E212EB" w:rsidRDefault="00E212EB">
      <w:pPr>
        <w:spacing w:after="200"/>
        <w:ind w:left="440"/>
        <w:jc w:val="center"/>
        <w:rPr>
          <w:rFonts w:ascii="Cambria" w:eastAsia="Cambria" w:hAnsi="Cambria" w:cs="Cambria"/>
          <w:smallCaps/>
          <w:sz w:val="36"/>
          <w:szCs w:val="36"/>
        </w:rPr>
      </w:pPr>
    </w:p>
    <w:p w:rsidR="00E212EB" w:rsidRDefault="00E212EB">
      <w:pPr>
        <w:spacing w:after="200"/>
        <w:rPr>
          <w:rFonts w:ascii="Cambria" w:eastAsia="Cambria" w:hAnsi="Cambria" w:cs="Cambria"/>
          <w:smallCaps/>
          <w:sz w:val="36"/>
          <w:szCs w:val="36"/>
        </w:rPr>
      </w:pPr>
    </w:p>
    <w:p w:rsidR="00E212EB" w:rsidRDefault="00C867E7">
      <w:pPr>
        <w:rPr>
          <w:b/>
          <w:sz w:val="28"/>
          <w:szCs w:val="28"/>
        </w:rPr>
      </w:pPr>
      <w:r>
        <w:rPr>
          <w:b/>
          <w:sz w:val="28"/>
          <w:szCs w:val="28"/>
          <w:u w:val="single"/>
        </w:rPr>
        <w:t>INTEGRANTES</w:t>
      </w:r>
      <w:r>
        <w:rPr>
          <w:b/>
          <w:sz w:val="28"/>
          <w:szCs w:val="28"/>
        </w:rPr>
        <w:t>:</w:t>
      </w:r>
    </w:p>
    <w:p w:rsidR="00E212EB" w:rsidRDefault="00C867E7">
      <w:pPr>
        <w:rPr>
          <w:sz w:val="28"/>
          <w:szCs w:val="28"/>
        </w:rPr>
      </w:pPr>
      <w:r>
        <w:rPr>
          <w:sz w:val="28"/>
          <w:szCs w:val="28"/>
        </w:rPr>
        <w:t>Borsini Ana</w:t>
      </w:r>
    </w:p>
    <w:p w:rsidR="00E212EB" w:rsidRDefault="00C867E7">
      <w:pPr>
        <w:rPr>
          <w:sz w:val="28"/>
          <w:szCs w:val="28"/>
        </w:rPr>
      </w:pPr>
      <w:r>
        <w:rPr>
          <w:sz w:val="28"/>
          <w:szCs w:val="28"/>
        </w:rPr>
        <w:t>Casanova Melina</w:t>
      </w:r>
    </w:p>
    <w:p w:rsidR="00E212EB" w:rsidRDefault="00C867E7">
      <w:pPr>
        <w:rPr>
          <w:sz w:val="28"/>
          <w:szCs w:val="28"/>
        </w:rPr>
      </w:pPr>
      <w:r>
        <w:rPr>
          <w:sz w:val="28"/>
          <w:szCs w:val="28"/>
        </w:rPr>
        <w:t xml:space="preserve">Elvira Tania </w:t>
      </w:r>
    </w:p>
    <w:p w:rsidR="00E212EB" w:rsidRDefault="00C867E7">
      <w:pPr>
        <w:rPr>
          <w:sz w:val="28"/>
          <w:szCs w:val="28"/>
        </w:rPr>
      </w:pPr>
      <w:r>
        <w:rPr>
          <w:sz w:val="28"/>
          <w:szCs w:val="28"/>
        </w:rPr>
        <w:t>Ibarra Guadalupe</w:t>
      </w:r>
    </w:p>
    <w:p w:rsidR="00E212EB" w:rsidRDefault="00C867E7">
      <w:pPr>
        <w:rPr>
          <w:sz w:val="28"/>
          <w:szCs w:val="28"/>
        </w:rPr>
      </w:pPr>
      <w:r>
        <w:rPr>
          <w:sz w:val="28"/>
          <w:szCs w:val="28"/>
        </w:rPr>
        <w:t>Maiztegui Pilar</w:t>
      </w:r>
    </w:p>
    <w:p w:rsidR="00E212EB" w:rsidRDefault="00C867E7">
      <w:pPr>
        <w:rPr>
          <w:sz w:val="28"/>
          <w:szCs w:val="28"/>
        </w:rPr>
      </w:pPr>
      <w:r>
        <w:rPr>
          <w:sz w:val="28"/>
          <w:szCs w:val="28"/>
        </w:rPr>
        <w:t>Redigonda Maida</w:t>
      </w:r>
    </w:p>
    <w:p w:rsidR="00E212EB" w:rsidRDefault="00E212EB">
      <w:pPr>
        <w:spacing w:after="200"/>
        <w:ind w:left="440"/>
        <w:jc w:val="center"/>
        <w:rPr>
          <w:rFonts w:ascii="Cambria" w:eastAsia="Cambria" w:hAnsi="Cambria" w:cs="Cambria"/>
          <w:smallCaps/>
          <w:sz w:val="36"/>
          <w:szCs w:val="36"/>
        </w:rPr>
      </w:pPr>
    </w:p>
    <w:p w:rsidR="00E212EB" w:rsidRDefault="00E212EB">
      <w:pPr>
        <w:spacing w:after="200"/>
        <w:rPr>
          <w:rFonts w:ascii="Cambria" w:eastAsia="Cambria" w:hAnsi="Cambria" w:cs="Cambria"/>
          <w:smallCaps/>
          <w:sz w:val="36"/>
          <w:szCs w:val="36"/>
        </w:rPr>
      </w:pPr>
    </w:p>
    <w:p w:rsidR="00E212EB" w:rsidRDefault="00E212EB">
      <w:pPr>
        <w:spacing w:after="200"/>
        <w:rPr>
          <w:rFonts w:ascii="Cambria" w:eastAsia="Cambria" w:hAnsi="Cambria" w:cs="Cambria"/>
          <w:smallCaps/>
          <w:sz w:val="36"/>
          <w:szCs w:val="36"/>
        </w:rPr>
      </w:pPr>
    </w:p>
    <w:p w:rsidR="00E212EB" w:rsidRDefault="00C867E7">
      <w:pPr>
        <w:spacing w:after="200"/>
        <w:jc w:val="center"/>
        <w:rPr>
          <w:rFonts w:ascii="Cambria" w:eastAsia="Cambria" w:hAnsi="Cambria" w:cs="Cambria"/>
          <w:smallCaps/>
          <w:sz w:val="36"/>
          <w:szCs w:val="36"/>
        </w:rPr>
      </w:pPr>
      <w:r>
        <w:rPr>
          <w:rFonts w:ascii="Cambria" w:eastAsia="Cambria" w:hAnsi="Cambria" w:cs="Cambria"/>
          <w:smallCaps/>
          <w:sz w:val="36"/>
          <w:szCs w:val="36"/>
        </w:rPr>
        <w:t>FACULTAD DE CIENCIAS BIOQUÍMICAS</w:t>
      </w:r>
      <w:r>
        <w:rPr>
          <w:noProof/>
        </w:rPr>
        <w:drawing>
          <wp:anchor distT="0" distB="0" distL="114300" distR="114300" simplePos="0" relativeHeight="251658240" behindDoc="0" locked="0" layoutInCell="1" hidden="0" allowOverlap="1">
            <wp:simplePos x="0" y="0"/>
            <wp:positionH relativeFrom="column">
              <wp:posOffset>4448175</wp:posOffset>
            </wp:positionH>
            <wp:positionV relativeFrom="paragraph">
              <wp:posOffset>28575</wp:posOffset>
            </wp:positionV>
            <wp:extent cx="1643380" cy="1714500"/>
            <wp:effectExtent l="0" t="0" r="0" b="0"/>
            <wp:wrapSquare wrapText="bothSides" distT="0" distB="0" distL="114300" distR="114300"/>
            <wp:docPr id="2" name="image2.jpg" descr="http://farmacologiaunr.com.ar/img/item_full/UNR.jpg"/>
            <wp:cNvGraphicFramePr/>
            <a:graphic xmlns:a="http://schemas.openxmlformats.org/drawingml/2006/main">
              <a:graphicData uri="http://schemas.openxmlformats.org/drawingml/2006/picture">
                <pic:pic xmlns:pic="http://schemas.openxmlformats.org/drawingml/2006/picture">
                  <pic:nvPicPr>
                    <pic:cNvPr id="0" name="image2.jpg" descr="http://farmacologiaunr.com.ar/img/item_full/UNR.jpg"/>
                    <pic:cNvPicPr preferRelativeResize="0"/>
                  </pic:nvPicPr>
                  <pic:blipFill>
                    <a:blip r:embed="rId8"/>
                    <a:srcRect/>
                    <a:stretch>
                      <a:fillRect/>
                    </a:stretch>
                  </pic:blipFill>
                  <pic:spPr>
                    <a:xfrm>
                      <a:off x="0" y="0"/>
                      <a:ext cx="1643380" cy="1714500"/>
                    </a:xfrm>
                    <a:prstGeom prst="rect">
                      <a:avLst/>
                    </a:prstGeom>
                    <a:ln/>
                  </pic:spPr>
                </pic:pic>
              </a:graphicData>
            </a:graphic>
          </wp:anchor>
        </w:drawing>
      </w:r>
    </w:p>
    <w:p w:rsidR="00E212EB" w:rsidRDefault="00C867E7">
      <w:pPr>
        <w:spacing w:after="200"/>
        <w:ind w:left="440"/>
        <w:jc w:val="center"/>
        <w:rPr>
          <w:rFonts w:ascii="Cambria" w:eastAsia="Cambria" w:hAnsi="Cambria" w:cs="Cambria"/>
          <w:smallCaps/>
          <w:sz w:val="18"/>
          <w:szCs w:val="18"/>
        </w:rPr>
      </w:pPr>
      <w:r>
        <w:rPr>
          <w:rFonts w:ascii="Cambria" w:eastAsia="Cambria" w:hAnsi="Cambria" w:cs="Cambria"/>
          <w:smallCaps/>
          <w:sz w:val="36"/>
          <w:szCs w:val="36"/>
        </w:rPr>
        <w:t>Y FARMACÉUTICAS</w:t>
      </w:r>
      <w:r>
        <w:rPr>
          <w:rFonts w:ascii="Cambria" w:eastAsia="Cambria" w:hAnsi="Cambria" w:cs="Cambria"/>
          <w:smallCaps/>
          <w:sz w:val="36"/>
          <w:szCs w:val="36"/>
        </w:rPr>
        <w:br/>
      </w:r>
    </w:p>
    <w:p w:rsidR="00E212EB" w:rsidRDefault="00C867E7">
      <w:pPr>
        <w:tabs>
          <w:tab w:val="left" w:pos="2160"/>
        </w:tabs>
        <w:spacing w:after="200"/>
        <w:ind w:left="440"/>
        <w:jc w:val="center"/>
        <w:rPr>
          <w:rFonts w:ascii="Cambria" w:eastAsia="Cambria" w:hAnsi="Cambria" w:cs="Cambria"/>
          <w:b/>
          <w:sz w:val="32"/>
          <w:szCs w:val="32"/>
        </w:rPr>
      </w:pPr>
      <w:r>
        <w:rPr>
          <w:rFonts w:ascii="Cambria" w:eastAsia="Cambria" w:hAnsi="Cambria" w:cs="Cambria"/>
          <w:b/>
          <w:sz w:val="32"/>
          <w:szCs w:val="32"/>
        </w:rPr>
        <w:t>· Aspectos Inmunológicos del Proceso Reproductivo- 2020·</w:t>
      </w:r>
    </w:p>
    <w:p w:rsidR="00E212EB" w:rsidRDefault="00C867E7">
      <w:pPr>
        <w:tabs>
          <w:tab w:val="left" w:pos="2160"/>
        </w:tabs>
        <w:spacing w:after="200"/>
        <w:rPr>
          <w:rFonts w:ascii="Cambria" w:eastAsia="Cambria" w:hAnsi="Cambria" w:cs="Cambria"/>
          <w:b/>
          <w:sz w:val="32"/>
          <w:szCs w:val="32"/>
        </w:rPr>
      </w:pPr>
      <w:r>
        <w:rPr>
          <w:rFonts w:ascii="Cambria" w:eastAsia="Cambria" w:hAnsi="Cambria" w:cs="Cambria"/>
          <w:b/>
          <w:sz w:val="32"/>
          <w:szCs w:val="32"/>
        </w:rPr>
        <w:t xml:space="preserve">                                          Grupo 2</w:t>
      </w:r>
    </w:p>
    <w:p w:rsidR="00E212EB" w:rsidRDefault="00E212EB">
      <w:pPr>
        <w:tabs>
          <w:tab w:val="left" w:pos="2160"/>
        </w:tabs>
        <w:spacing w:after="200"/>
        <w:rPr>
          <w:rFonts w:ascii="Cambria" w:eastAsia="Cambria" w:hAnsi="Cambria" w:cs="Cambria"/>
          <w:b/>
          <w:sz w:val="32"/>
          <w:szCs w:val="32"/>
        </w:rPr>
      </w:pPr>
    </w:p>
    <w:p w:rsidR="00E212EB" w:rsidRDefault="00E212EB">
      <w:pPr>
        <w:tabs>
          <w:tab w:val="left" w:pos="2160"/>
        </w:tabs>
        <w:spacing w:after="200"/>
        <w:rPr>
          <w:rFonts w:ascii="Cambria" w:eastAsia="Cambria" w:hAnsi="Cambria" w:cs="Cambria"/>
          <w:b/>
          <w:sz w:val="32"/>
          <w:szCs w:val="32"/>
        </w:rPr>
      </w:pPr>
    </w:p>
    <w:p w:rsidR="00E212EB" w:rsidRDefault="00E212EB">
      <w:pPr>
        <w:rPr>
          <w:rFonts w:ascii="Cambria" w:eastAsia="Cambria" w:hAnsi="Cambria" w:cs="Cambria"/>
          <w:smallCaps/>
          <w:sz w:val="36"/>
          <w:szCs w:val="36"/>
        </w:rPr>
      </w:pPr>
    </w:p>
    <w:p w:rsidR="00E212EB" w:rsidRDefault="00E212EB"/>
    <w:p w:rsidR="00E212EB" w:rsidRDefault="00C867E7">
      <w:pPr>
        <w:jc w:val="center"/>
        <w:rPr>
          <w:b/>
          <w:sz w:val="24"/>
          <w:szCs w:val="24"/>
        </w:rPr>
      </w:pPr>
      <w:r>
        <w:rPr>
          <w:b/>
          <w:sz w:val="24"/>
          <w:szCs w:val="24"/>
        </w:rPr>
        <w:t>Trastornos de la fertilidad. Enfermedades genéticas y enfermedades crónicas.</w:t>
      </w:r>
    </w:p>
    <w:p w:rsidR="00E212EB" w:rsidRDefault="00E212EB">
      <w:pPr>
        <w:jc w:val="both"/>
        <w:rPr>
          <w:sz w:val="24"/>
          <w:szCs w:val="24"/>
        </w:rPr>
      </w:pPr>
    </w:p>
    <w:p w:rsidR="00E212EB" w:rsidRDefault="00C867E7">
      <w:pPr>
        <w:jc w:val="both"/>
        <w:rPr>
          <w:sz w:val="24"/>
          <w:szCs w:val="24"/>
        </w:rPr>
      </w:pPr>
      <w:r>
        <w:rPr>
          <w:sz w:val="24"/>
          <w:szCs w:val="24"/>
        </w:rPr>
        <w:t xml:space="preserve">Dentro del campo de la salud reproductiva, los trastornos de la fertilidad implican una deficiencia que no compromete la integridad física del individuo, ni amenaza su vida, sin embargo, esta deficiencia puede tener un impacto negativo sobre el desarrollo </w:t>
      </w:r>
      <w:r>
        <w:rPr>
          <w:sz w:val="24"/>
          <w:szCs w:val="24"/>
        </w:rPr>
        <w:t>de éste, provocando frustración en los casos donde se considera tener hijos como un objetivo de vida.</w:t>
      </w:r>
    </w:p>
    <w:p w:rsidR="00E212EB" w:rsidRDefault="00E212EB">
      <w:pPr>
        <w:jc w:val="both"/>
        <w:rPr>
          <w:sz w:val="24"/>
          <w:szCs w:val="24"/>
        </w:rPr>
      </w:pPr>
    </w:p>
    <w:p w:rsidR="00E212EB" w:rsidRDefault="00C867E7">
      <w:pPr>
        <w:jc w:val="both"/>
        <w:rPr>
          <w:sz w:val="24"/>
          <w:szCs w:val="24"/>
        </w:rPr>
      </w:pPr>
      <w:r>
        <w:rPr>
          <w:sz w:val="24"/>
          <w:szCs w:val="24"/>
        </w:rPr>
        <w:t xml:space="preserve">Los factores genéticos desempeñan un importante papel en la reproducción humana. Los hallazgos cromosómicos constituyen una de las causas principales de </w:t>
      </w:r>
      <w:r>
        <w:rPr>
          <w:sz w:val="24"/>
          <w:szCs w:val="24"/>
        </w:rPr>
        <w:t>origen genético. Dentro de estas se destacan tanto las anomalías numéricas, estructurales, así como las variantes citogenéticas.</w:t>
      </w:r>
    </w:p>
    <w:p w:rsidR="00E212EB" w:rsidRDefault="00E212EB">
      <w:pPr>
        <w:jc w:val="both"/>
        <w:rPr>
          <w:sz w:val="24"/>
          <w:szCs w:val="24"/>
        </w:rPr>
      </w:pPr>
    </w:p>
    <w:p w:rsidR="00E212EB" w:rsidRDefault="00C867E7">
      <w:pPr>
        <w:jc w:val="both"/>
        <w:rPr>
          <w:sz w:val="24"/>
          <w:szCs w:val="24"/>
        </w:rPr>
      </w:pPr>
      <w:r>
        <w:rPr>
          <w:sz w:val="24"/>
          <w:szCs w:val="24"/>
        </w:rPr>
        <w:t>Se estima una prevalencia de anomalías cromosómicas de alrededor de uno por cada 500 recién nacidos. Dentro de las anomalías c</w:t>
      </w:r>
      <w:r>
        <w:rPr>
          <w:sz w:val="24"/>
          <w:szCs w:val="24"/>
        </w:rPr>
        <w:t>itogenéticas, están las translocaciones balanceadas presentes en los individuos portadores con fenotipo normal, pero estos pueden presentar un riesgo aumentado de producir gametos no balanceados y consecuentemente problemas de esterilidad o infertilidad</w:t>
      </w:r>
    </w:p>
    <w:p w:rsidR="00E212EB" w:rsidRDefault="00E212EB">
      <w:pPr>
        <w:rPr>
          <w:sz w:val="24"/>
          <w:szCs w:val="24"/>
        </w:rPr>
      </w:pPr>
    </w:p>
    <w:p w:rsidR="00E212EB" w:rsidRDefault="00C867E7">
      <w:pPr>
        <w:jc w:val="center"/>
        <w:rPr>
          <w:b/>
          <w:sz w:val="24"/>
          <w:szCs w:val="24"/>
        </w:rPr>
      </w:pPr>
      <w:r>
        <w:rPr>
          <w:b/>
          <w:sz w:val="24"/>
          <w:szCs w:val="24"/>
        </w:rPr>
        <w:t>E</w:t>
      </w:r>
      <w:r>
        <w:rPr>
          <w:b/>
          <w:sz w:val="24"/>
          <w:szCs w:val="24"/>
        </w:rPr>
        <w:t xml:space="preserve">NFERMEDADES GENÉTICAS </w:t>
      </w:r>
    </w:p>
    <w:p w:rsidR="00E212EB" w:rsidRDefault="00E212EB">
      <w:pPr>
        <w:jc w:val="center"/>
        <w:rPr>
          <w:b/>
          <w:sz w:val="24"/>
          <w:szCs w:val="24"/>
        </w:rPr>
      </w:pPr>
    </w:p>
    <w:p w:rsidR="00E212EB" w:rsidRDefault="00C867E7">
      <w:pPr>
        <w:rPr>
          <w:b/>
          <w:sz w:val="24"/>
          <w:szCs w:val="24"/>
        </w:rPr>
      </w:pPr>
      <w:r>
        <w:rPr>
          <w:b/>
          <w:sz w:val="24"/>
          <w:szCs w:val="24"/>
          <w:u w:val="single"/>
        </w:rPr>
        <w:t>Trastornos cromosómicos</w:t>
      </w:r>
      <w:r>
        <w:rPr>
          <w:b/>
          <w:sz w:val="24"/>
          <w:szCs w:val="24"/>
        </w:rPr>
        <w:t xml:space="preserve">: aberraciones estructurales </w:t>
      </w:r>
    </w:p>
    <w:p w:rsidR="00E212EB" w:rsidRDefault="00E212EB">
      <w:pPr>
        <w:rPr>
          <w:i/>
          <w:sz w:val="24"/>
          <w:szCs w:val="24"/>
          <w:u w:val="single"/>
        </w:rPr>
      </w:pPr>
    </w:p>
    <w:p w:rsidR="00E212EB" w:rsidRDefault="00C867E7">
      <w:pPr>
        <w:rPr>
          <w:sz w:val="24"/>
          <w:szCs w:val="24"/>
        </w:rPr>
      </w:pPr>
      <w:r>
        <w:rPr>
          <w:i/>
          <w:sz w:val="24"/>
          <w:szCs w:val="24"/>
          <w:u w:val="single"/>
        </w:rPr>
        <w:t>Translocaciones</w:t>
      </w:r>
      <w:r>
        <w:rPr>
          <w:b/>
          <w:sz w:val="24"/>
          <w:szCs w:val="24"/>
          <w:u w:val="single"/>
        </w:rPr>
        <w:t xml:space="preserve"> </w:t>
      </w:r>
      <w:r>
        <w:rPr>
          <w:sz w:val="24"/>
          <w:szCs w:val="24"/>
        </w:rPr>
        <w:t>Las translocaciones recíprocas pueden provocar una reducción de la fertilidad, abortos espontáneos o defectos de nacimiento, según los cromosomas involucrados y l</w:t>
      </w:r>
      <w:r>
        <w:rPr>
          <w:sz w:val="24"/>
          <w:szCs w:val="24"/>
        </w:rPr>
        <w:t xml:space="preserve">a naturaleza de la translocación. </w:t>
      </w:r>
    </w:p>
    <w:p w:rsidR="00E212EB" w:rsidRDefault="00E212EB">
      <w:pPr>
        <w:rPr>
          <w:sz w:val="24"/>
          <w:szCs w:val="24"/>
        </w:rPr>
      </w:pPr>
    </w:p>
    <w:p w:rsidR="00E212EB" w:rsidRDefault="00C867E7">
      <w:pPr>
        <w:rPr>
          <w:sz w:val="24"/>
          <w:szCs w:val="24"/>
        </w:rPr>
      </w:pPr>
      <w:r>
        <w:rPr>
          <w:sz w:val="24"/>
          <w:szCs w:val="24"/>
        </w:rPr>
        <w:t>En las translocaciones autosoma-autosoma, la reducción de la fertilidad está mediada por el hecho de que los cromosomas translocados, para progresar a través de la meiosis, necesitan hacer sinapsis a través de un entrecr</w:t>
      </w:r>
      <w:r>
        <w:rPr>
          <w:sz w:val="24"/>
          <w:szCs w:val="24"/>
        </w:rPr>
        <w:t>uzamiento. Este proceso puede provocar infertilidad de varias formas:</w:t>
      </w:r>
    </w:p>
    <w:p w:rsidR="00E212EB" w:rsidRDefault="00C867E7">
      <w:pPr>
        <w:numPr>
          <w:ilvl w:val="2"/>
          <w:numId w:val="17"/>
        </w:numPr>
        <w:rPr>
          <w:sz w:val="24"/>
          <w:szCs w:val="24"/>
        </w:rPr>
      </w:pPr>
      <w:r>
        <w:rPr>
          <w:sz w:val="24"/>
          <w:szCs w:val="24"/>
        </w:rPr>
        <w:t xml:space="preserve">En primer lugar, la mecánica y las limitaciones de tiempo que lleva la formación de tal cuadrivalente pueden impedir el proceso meiótico. </w:t>
      </w:r>
    </w:p>
    <w:p w:rsidR="00E212EB" w:rsidRDefault="00C867E7">
      <w:pPr>
        <w:numPr>
          <w:ilvl w:val="2"/>
          <w:numId w:val="17"/>
        </w:numPr>
        <w:rPr>
          <w:sz w:val="24"/>
          <w:szCs w:val="24"/>
        </w:rPr>
      </w:pPr>
      <w:r>
        <w:rPr>
          <w:sz w:val="24"/>
          <w:szCs w:val="24"/>
        </w:rPr>
        <w:t>En segundo lugar, la disyunción del entrecruzam</w:t>
      </w:r>
      <w:r>
        <w:rPr>
          <w:sz w:val="24"/>
          <w:szCs w:val="24"/>
        </w:rPr>
        <w:t>iento es propensa a la producción de gametos genéticamente desequilibrados.</w:t>
      </w:r>
    </w:p>
    <w:p w:rsidR="00E212EB" w:rsidRDefault="00C867E7">
      <w:pPr>
        <w:numPr>
          <w:ilvl w:val="2"/>
          <w:numId w:val="17"/>
        </w:numPr>
        <w:rPr>
          <w:sz w:val="24"/>
          <w:szCs w:val="24"/>
        </w:rPr>
      </w:pPr>
      <w:r>
        <w:rPr>
          <w:sz w:val="24"/>
          <w:szCs w:val="24"/>
        </w:rPr>
        <w:t xml:space="preserve"> En tercer lugar, las regiones asinápticas son comunes dentro del entrecruzamiento y pueden conducir al fracaso de la meiosis y, posteriormente, a la eliminación de las células ger</w:t>
      </w:r>
      <w:r>
        <w:rPr>
          <w:sz w:val="24"/>
          <w:szCs w:val="24"/>
        </w:rPr>
        <w:t xml:space="preserve">minales. </w:t>
      </w:r>
    </w:p>
    <w:p w:rsidR="00E212EB" w:rsidRDefault="00C867E7">
      <w:pPr>
        <w:numPr>
          <w:ilvl w:val="2"/>
          <w:numId w:val="17"/>
        </w:numPr>
        <w:rPr>
          <w:sz w:val="24"/>
          <w:szCs w:val="24"/>
        </w:rPr>
      </w:pPr>
      <w:r>
        <w:rPr>
          <w:sz w:val="24"/>
          <w:szCs w:val="24"/>
        </w:rPr>
        <w:lastRenderedPageBreak/>
        <w:t>En cuarto lugar, existe evidencia de que los segmentos translocados de cromosomas intentan emparejarse de forma no homóloga con los cromosomas X e Y durante la meiosis I, lo que interfiere con la inactivación de X, y resulta en un efecto letal de</w:t>
      </w:r>
      <w:r>
        <w:rPr>
          <w:sz w:val="24"/>
          <w:szCs w:val="24"/>
        </w:rPr>
        <w:t xml:space="preserve"> dosificacion genética en las células germinales. Finalmente, las interacciones de los cromosomas de translocación con otras partes del núcleo pueden producir errores en la meiosis y muerte celular. </w:t>
      </w:r>
    </w:p>
    <w:p w:rsidR="00E212EB" w:rsidRDefault="00E212EB">
      <w:pPr>
        <w:rPr>
          <w:b/>
          <w:sz w:val="24"/>
          <w:szCs w:val="24"/>
        </w:rPr>
      </w:pPr>
    </w:p>
    <w:p w:rsidR="00E212EB" w:rsidRDefault="00C867E7">
      <w:pPr>
        <w:rPr>
          <w:sz w:val="24"/>
          <w:szCs w:val="24"/>
          <w:u w:val="single"/>
        </w:rPr>
      </w:pPr>
      <w:r>
        <w:rPr>
          <w:i/>
          <w:sz w:val="24"/>
          <w:szCs w:val="24"/>
          <w:u w:val="single"/>
        </w:rPr>
        <w:t>Inversiones cromosómicas</w:t>
      </w:r>
      <w:r>
        <w:rPr>
          <w:sz w:val="24"/>
          <w:szCs w:val="24"/>
          <w:u w:val="single"/>
        </w:rPr>
        <w:t xml:space="preserve"> </w:t>
      </w:r>
    </w:p>
    <w:p w:rsidR="00E212EB" w:rsidRDefault="00C867E7">
      <w:pPr>
        <w:rPr>
          <w:sz w:val="24"/>
          <w:szCs w:val="24"/>
        </w:rPr>
      </w:pPr>
      <w:r>
        <w:rPr>
          <w:sz w:val="24"/>
          <w:szCs w:val="24"/>
        </w:rPr>
        <w:br/>
        <w:t>Las inversiones causan infer</w:t>
      </w:r>
      <w:r>
        <w:rPr>
          <w:sz w:val="24"/>
          <w:szCs w:val="24"/>
        </w:rPr>
        <w:t>tilidad por los siguientes mecanismos: en primer lugar, la mecánica y las limitaciones de tiempo impuestas por la maquinaria meiótica en la formación de un lazo de emparejamiento pueden impedir la meiosis. En segundo lugar, los estudios de PCR de un solo e</w:t>
      </w:r>
      <w:r>
        <w:rPr>
          <w:sz w:val="24"/>
          <w:szCs w:val="24"/>
        </w:rPr>
        <w:t>spermatozoide de entrecruzamiento indican que la recombinación se reduce dentro del lazo de emparejamiento y esto también conduce a una ruptura de la meiosis. En tercer lugar, cuando se produce un cruce en el lazo de entrecruzamiento, pueden producirse gam</w:t>
      </w:r>
      <w:r>
        <w:rPr>
          <w:sz w:val="24"/>
          <w:szCs w:val="24"/>
        </w:rPr>
        <w:t>etos desequilibrados.</w:t>
      </w:r>
    </w:p>
    <w:p w:rsidR="00E212EB" w:rsidRDefault="00E212EB">
      <w:pPr>
        <w:rPr>
          <w:sz w:val="24"/>
          <w:szCs w:val="24"/>
        </w:rPr>
      </w:pPr>
    </w:p>
    <w:p w:rsidR="00E212EB" w:rsidRDefault="00C867E7">
      <w:pPr>
        <w:rPr>
          <w:i/>
          <w:sz w:val="24"/>
          <w:szCs w:val="24"/>
          <w:u w:val="single"/>
        </w:rPr>
      </w:pPr>
      <w:r>
        <w:rPr>
          <w:i/>
          <w:sz w:val="24"/>
          <w:szCs w:val="24"/>
          <w:u w:val="single"/>
        </w:rPr>
        <w:t>Cromosomas marcadores y supernumerarios</w:t>
      </w:r>
    </w:p>
    <w:p w:rsidR="00E212EB" w:rsidRDefault="00C867E7">
      <w:pPr>
        <w:rPr>
          <w:b/>
          <w:sz w:val="24"/>
          <w:szCs w:val="24"/>
        </w:rPr>
      </w:pPr>
      <w:r>
        <w:rPr>
          <w:i/>
          <w:sz w:val="24"/>
          <w:szCs w:val="24"/>
          <w:u w:val="single"/>
        </w:rPr>
        <w:br/>
      </w:r>
      <w:r>
        <w:rPr>
          <w:sz w:val="24"/>
          <w:szCs w:val="24"/>
        </w:rPr>
        <w:t>Los cromosomas supernumerarios son cromosomas adicionales que no se identifican fácilmente por medios citogenéticos normales. Los portadores de cromosomas marcadores están en riesgo de inferti</w:t>
      </w:r>
      <w:r>
        <w:rPr>
          <w:sz w:val="24"/>
          <w:szCs w:val="24"/>
        </w:rPr>
        <w:t>lidad debido a la inestabilidad y la detención meiótica.</w:t>
      </w:r>
    </w:p>
    <w:p w:rsidR="00E212EB" w:rsidRDefault="00E212EB">
      <w:pPr>
        <w:jc w:val="center"/>
        <w:rPr>
          <w:b/>
          <w:sz w:val="24"/>
          <w:szCs w:val="24"/>
        </w:rPr>
      </w:pPr>
    </w:p>
    <w:p w:rsidR="00E212EB" w:rsidRDefault="00C867E7">
      <w:pPr>
        <w:jc w:val="center"/>
        <w:rPr>
          <w:b/>
          <w:sz w:val="24"/>
          <w:szCs w:val="24"/>
          <w:u w:val="single"/>
        </w:rPr>
      </w:pPr>
      <w:r>
        <w:rPr>
          <w:b/>
          <w:sz w:val="24"/>
          <w:szCs w:val="24"/>
          <w:u w:val="single"/>
        </w:rPr>
        <w:t>Genética e infertilidad masculina</w:t>
      </w:r>
    </w:p>
    <w:p w:rsidR="00E212EB" w:rsidRDefault="00E212EB">
      <w:pPr>
        <w:jc w:val="both"/>
        <w:rPr>
          <w:sz w:val="24"/>
          <w:szCs w:val="24"/>
        </w:rPr>
      </w:pPr>
    </w:p>
    <w:p w:rsidR="00E212EB" w:rsidRDefault="00C867E7">
      <w:pPr>
        <w:jc w:val="both"/>
        <w:rPr>
          <w:sz w:val="24"/>
          <w:szCs w:val="24"/>
        </w:rPr>
      </w:pPr>
      <w:r>
        <w:rPr>
          <w:sz w:val="24"/>
          <w:szCs w:val="24"/>
        </w:rPr>
        <w:t>La infertilidad masculina puede ser clasificada como debida a un único defecto de un gen, o a un defecto numérico estructural de los cromosomas. Los defectos de un</w:t>
      </w:r>
      <w:r>
        <w:rPr>
          <w:sz w:val="24"/>
          <w:szCs w:val="24"/>
        </w:rPr>
        <w:t xml:space="preserve"> único gen que generan esterilidad masculina son debidos a mutaciones en un alelo o en dos alelos en el mismo locus. La herencia del defecto puede ser recesiva o dominante y la falla del gen puede afectar la espermatogénesis, el transporte de los espermato</w:t>
      </w:r>
      <w:r>
        <w:rPr>
          <w:sz w:val="24"/>
          <w:szCs w:val="24"/>
        </w:rPr>
        <w:t>zoides o a los espermatozoides mismos, y esto se corresponde a factores testiculares, post-testiculares y espermáticos, respectivamente.</w:t>
      </w:r>
    </w:p>
    <w:p w:rsidR="00E212EB" w:rsidRDefault="00E212EB">
      <w:pPr>
        <w:jc w:val="both"/>
        <w:rPr>
          <w:b/>
          <w:sz w:val="24"/>
          <w:szCs w:val="24"/>
          <w:u w:val="single"/>
        </w:rPr>
      </w:pPr>
    </w:p>
    <w:p w:rsidR="00E212EB" w:rsidRDefault="00C867E7">
      <w:pPr>
        <w:jc w:val="both"/>
        <w:rPr>
          <w:sz w:val="24"/>
          <w:szCs w:val="24"/>
        </w:rPr>
      </w:pPr>
      <w:r>
        <w:rPr>
          <w:sz w:val="24"/>
          <w:szCs w:val="24"/>
        </w:rPr>
        <w:t>La mayoría de las enfermedades genéticas que son causa de infertilidad masculina se asocian</w:t>
      </w:r>
      <w:r>
        <w:rPr>
          <w:sz w:val="24"/>
          <w:szCs w:val="24"/>
        </w:rPr>
        <w:t xml:space="preserve"> con anomalías del esperma, ya sea directa o indirectamente. Dentro de estas podemos encontrar: </w:t>
      </w:r>
    </w:p>
    <w:p w:rsidR="00E212EB" w:rsidRDefault="00E212EB">
      <w:pPr>
        <w:jc w:val="both"/>
        <w:rPr>
          <w:sz w:val="24"/>
          <w:szCs w:val="24"/>
        </w:rPr>
      </w:pPr>
    </w:p>
    <w:p w:rsidR="00E212EB" w:rsidRDefault="00C867E7">
      <w:pPr>
        <w:numPr>
          <w:ilvl w:val="0"/>
          <w:numId w:val="17"/>
        </w:numPr>
        <w:shd w:val="clear" w:color="auto" w:fill="FFFFFF"/>
        <w:jc w:val="both"/>
        <w:rPr>
          <w:color w:val="000000"/>
          <w:sz w:val="24"/>
          <w:szCs w:val="24"/>
        </w:rPr>
      </w:pPr>
      <w:r>
        <w:rPr>
          <w:b/>
          <w:sz w:val="24"/>
          <w:szCs w:val="24"/>
        </w:rPr>
        <w:t>Fibrosis quística.</w:t>
      </w:r>
      <w:r>
        <w:rPr>
          <w:sz w:val="24"/>
          <w:szCs w:val="24"/>
        </w:rPr>
        <w:t xml:space="preserve">  Condición hereditaria que por lo general afecta a los pulmones y al páncreas, pero también puede presentarse como una causa de la infertil</w:t>
      </w:r>
      <w:r>
        <w:rPr>
          <w:sz w:val="24"/>
          <w:szCs w:val="24"/>
        </w:rPr>
        <w:t xml:space="preserve">idad con o sin problemas leves del seno. La mayoría de los hombres que tienen fibrosis quística tienen azoospermia obstructiva, porque nacieron </w:t>
      </w:r>
      <w:r>
        <w:rPr>
          <w:sz w:val="24"/>
          <w:szCs w:val="24"/>
        </w:rPr>
        <w:lastRenderedPageBreak/>
        <w:t xml:space="preserve">sin conductos deferentes. Esto provoca infertilidad masculina.  Las mutaciones del gen regulador transmembranal </w:t>
      </w:r>
      <w:r>
        <w:rPr>
          <w:sz w:val="24"/>
          <w:szCs w:val="24"/>
        </w:rPr>
        <w:t>de la fibrosis quística (CFTR) ubicado en el brazo largo del cromosoma 7(q31.2), que regula la conductancia a través de la membrana epitelial, provoca la agenesia bilateral de los conductos deferentes en los pacientes fibroquísticos y, por tanto, puede cau</w:t>
      </w:r>
      <w:r>
        <w:rPr>
          <w:sz w:val="24"/>
          <w:szCs w:val="24"/>
        </w:rPr>
        <w:t xml:space="preserve">sar infertilidad, entre otros síntomas. </w:t>
      </w:r>
      <w:r>
        <w:rPr>
          <w:sz w:val="24"/>
          <w:szCs w:val="24"/>
        </w:rPr>
        <w:br/>
        <w:t xml:space="preserve">La proteína CFTR también participa en el transporte de electrolitos y agua a través del epitelio epididimario, lo que ayuda a lograr un entorno óptimo para la maduración y el transporte de los espermatozoides. </w:t>
      </w:r>
      <w:r>
        <w:rPr>
          <w:b/>
          <w:sz w:val="24"/>
          <w:szCs w:val="24"/>
        </w:rPr>
        <w:t xml:space="preserve">Esta </w:t>
      </w:r>
      <w:r>
        <w:rPr>
          <w:b/>
          <w:sz w:val="24"/>
          <w:szCs w:val="24"/>
        </w:rPr>
        <w:t>participación en la maduración de los espermatozoides indica que las mutaciones en el gen CFTR puede causar infertilidad no sólo por obstrucción sino también por deficiencias en la maduración del esperma</w:t>
      </w:r>
      <w:r>
        <w:rPr>
          <w:sz w:val="24"/>
          <w:szCs w:val="24"/>
        </w:rPr>
        <w:t xml:space="preserve">. </w:t>
      </w:r>
    </w:p>
    <w:p w:rsidR="00E212EB" w:rsidRDefault="00E212EB">
      <w:pPr>
        <w:shd w:val="clear" w:color="auto" w:fill="FFFFFF"/>
        <w:ind w:left="720"/>
        <w:jc w:val="both"/>
        <w:rPr>
          <w:sz w:val="24"/>
          <w:szCs w:val="24"/>
        </w:rPr>
      </w:pPr>
    </w:p>
    <w:p w:rsidR="00E212EB" w:rsidRDefault="00C867E7">
      <w:pPr>
        <w:numPr>
          <w:ilvl w:val="0"/>
          <w:numId w:val="17"/>
        </w:numPr>
        <w:shd w:val="clear" w:color="auto" w:fill="FFFFFF"/>
        <w:jc w:val="both"/>
        <w:rPr>
          <w:sz w:val="24"/>
          <w:szCs w:val="24"/>
        </w:rPr>
      </w:pPr>
      <w:r>
        <w:rPr>
          <w:b/>
          <w:sz w:val="24"/>
          <w:szCs w:val="24"/>
        </w:rPr>
        <w:t>Síndrome de Kallman.</w:t>
      </w:r>
      <w:r>
        <w:rPr>
          <w:sz w:val="24"/>
          <w:szCs w:val="24"/>
        </w:rPr>
        <w:t xml:space="preserve"> El síndrome de Kallman es un</w:t>
      </w:r>
      <w:r>
        <w:rPr>
          <w:sz w:val="24"/>
          <w:szCs w:val="24"/>
        </w:rPr>
        <w:t xml:space="preserve"> tipo de hipogonadismo hipogonadotrópico que cursa con anosmia y puede estar asociado con aplasia renal unilateral. Se trata de una afección recesiva del cromosoma X. La falla hipotalámica del agonista de GnRH puede ser debida a un defecto en el gen. Codif</w:t>
      </w:r>
      <w:r>
        <w:rPr>
          <w:sz w:val="24"/>
          <w:szCs w:val="24"/>
        </w:rPr>
        <w:t>ica para la proteína responsable de la migración neuronal desde la placa olfatoria hasta el diencéfalo, por lo que los pacientes afectados son severamente azoospérmicos u oligozoospérmicos.</w:t>
      </w:r>
    </w:p>
    <w:p w:rsidR="00E212EB" w:rsidRDefault="00E212EB">
      <w:pPr>
        <w:shd w:val="clear" w:color="auto" w:fill="FFFFFF"/>
        <w:ind w:left="720"/>
        <w:jc w:val="both"/>
        <w:rPr>
          <w:sz w:val="24"/>
          <w:szCs w:val="24"/>
        </w:rPr>
      </w:pPr>
    </w:p>
    <w:p w:rsidR="00E212EB" w:rsidRDefault="00C867E7">
      <w:pPr>
        <w:numPr>
          <w:ilvl w:val="0"/>
          <w:numId w:val="17"/>
        </w:numPr>
        <w:shd w:val="clear" w:color="auto" w:fill="FFFFFF"/>
        <w:jc w:val="both"/>
        <w:rPr>
          <w:sz w:val="24"/>
          <w:szCs w:val="24"/>
        </w:rPr>
      </w:pPr>
      <w:r>
        <w:rPr>
          <w:b/>
          <w:sz w:val="24"/>
          <w:szCs w:val="24"/>
        </w:rPr>
        <w:t xml:space="preserve">Síndrome del cilio inmóvil. </w:t>
      </w:r>
      <w:r>
        <w:rPr>
          <w:sz w:val="24"/>
          <w:szCs w:val="24"/>
        </w:rPr>
        <w:t>El ejemplo más frecuente es el síndro</w:t>
      </w:r>
      <w:r>
        <w:rPr>
          <w:sz w:val="24"/>
          <w:szCs w:val="24"/>
        </w:rPr>
        <w:t>me de Kartagener, caracterizado por bronquiectasias, sinusitis, infecciones recurrentes del oído medio y situs inversus. La ausencia de brazos dinein en los flagelos del espermatozoide impiden la ruptura de las moléculas del ATP espermático, haciendo que e</w:t>
      </w:r>
      <w:r>
        <w:rPr>
          <w:sz w:val="24"/>
          <w:szCs w:val="24"/>
        </w:rPr>
        <w:t>l flagelo quede inmóvil. Puede ocurrir mutación en el brazo corto del cromosoma 1.</w:t>
      </w:r>
    </w:p>
    <w:p w:rsidR="00E212EB" w:rsidRDefault="00E212EB">
      <w:pPr>
        <w:shd w:val="clear" w:color="auto" w:fill="FFFFFF"/>
        <w:ind w:left="720"/>
        <w:jc w:val="both"/>
        <w:rPr>
          <w:sz w:val="24"/>
          <w:szCs w:val="24"/>
        </w:rPr>
      </w:pPr>
    </w:p>
    <w:p w:rsidR="00E212EB" w:rsidRDefault="00C867E7">
      <w:pPr>
        <w:numPr>
          <w:ilvl w:val="0"/>
          <w:numId w:val="17"/>
        </w:numPr>
        <w:shd w:val="clear" w:color="auto" w:fill="FFFFFF"/>
        <w:jc w:val="both"/>
        <w:rPr>
          <w:color w:val="000000"/>
          <w:sz w:val="24"/>
          <w:szCs w:val="24"/>
        </w:rPr>
      </w:pPr>
      <w:r>
        <w:rPr>
          <w:b/>
          <w:sz w:val="24"/>
          <w:szCs w:val="24"/>
        </w:rPr>
        <w:t>Síndrome de Noonan.</w:t>
      </w:r>
      <w:r>
        <w:rPr>
          <w:sz w:val="24"/>
          <w:szCs w:val="24"/>
        </w:rPr>
        <w:t xml:space="preserve">  El síndrome de Noonan es una enfermedad monogénica de herencia autosómica dominante y expresividad muy variable que puede afectar tanto a hombres como a mujeres. Se caracteriza por talla baja, cardiopatía, dismorfia facial, alteraciones esqueléticas y cr</w:t>
      </w:r>
      <w:r>
        <w:rPr>
          <w:sz w:val="24"/>
          <w:szCs w:val="24"/>
        </w:rPr>
        <w:t>iptorquidia. En los hombres, este síndrome puede causar función gonadal anormal. La criptorquidia es frecuente (77%), causando alteraciones espermáticas en los adultos y afectando su fertilidad. La pubertad se retrasa en ambos sexos (edad media menarquia e</w:t>
      </w:r>
      <w:r>
        <w:rPr>
          <w:sz w:val="24"/>
          <w:szCs w:val="24"/>
        </w:rPr>
        <w:t xml:space="preserve">n mujeres 14,6 años). La fertilidad en mujeres es normal. </w:t>
      </w:r>
    </w:p>
    <w:p w:rsidR="00E212EB" w:rsidRDefault="00E212EB">
      <w:pPr>
        <w:shd w:val="clear" w:color="auto" w:fill="FFFFFF"/>
        <w:ind w:left="720"/>
        <w:jc w:val="both"/>
        <w:rPr>
          <w:sz w:val="24"/>
          <w:szCs w:val="24"/>
        </w:rPr>
      </w:pPr>
    </w:p>
    <w:p w:rsidR="00E212EB" w:rsidRDefault="00C867E7">
      <w:pPr>
        <w:numPr>
          <w:ilvl w:val="0"/>
          <w:numId w:val="17"/>
        </w:numPr>
        <w:shd w:val="clear" w:color="auto" w:fill="FFFFFF"/>
        <w:jc w:val="both"/>
        <w:rPr>
          <w:color w:val="000000"/>
          <w:sz w:val="24"/>
          <w:szCs w:val="24"/>
        </w:rPr>
      </w:pPr>
      <w:r>
        <w:rPr>
          <w:b/>
          <w:sz w:val="24"/>
          <w:szCs w:val="24"/>
        </w:rPr>
        <w:t>Distrofia miotónica.</w:t>
      </w:r>
      <w:r>
        <w:rPr>
          <w:sz w:val="24"/>
          <w:szCs w:val="24"/>
        </w:rPr>
        <w:t xml:space="preserve">  Condición hereditaria con complicación multisistémica progresiva, que en algunos casos da como resultado la infertilidad (testículos poco desarrollados y producción de esperm</w:t>
      </w:r>
      <w:r>
        <w:rPr>
          <w:sz w:val="24"/>
          <w:szCs w:val="24"/>
        </w:rPr>
        <w:t>a anormal). Se producen errores en la copia del gen del cromosoma 19 durante la gametogénesis, el cual codifica una proteína quinasa reguladora que se encuentra en el músculo esquelético. Como resultado, se amplifica una repetición del triplete CTG y expli</w:t>
      </w:r>
      <w:r>
        <w:rPr>
          <w:sz w:val="24"/>
          <w:szCs w:val="24"/>
        </w:rPr>
        <w:t>can la edad variable de aparición y el aumento de la gravedad en las generaciones posteriores. La fertilidad de los varones puede verse afectada; debido a una capacidad deficiente y reacciones acrosómicas en los espermatozoides. La DM causa esclerosis de l</w:t>
      </w:r>
      <w:r>
        <w:rPr>
          <w:sz w:val="24"/>
          <w:szCs w:val="24"/>
        </w:rPr>
        <w:t xml:space="preserve">os túbulos seminíferos contorneados, que en última instancia puede conducir a azoospermia. </w:t>
      </w:r>
    </w:p>
    <w:p w:rsidR="00E212EB" w:rsidRDefault="00C867E7">
      <w:pPr>
        <w:numPr>
          <w:ilvl w:val="0"/>
          <w:numId w:val="17"/>
        </w:numPr>
        <w:shd w:val="clear" w:color="auto" w:fill="FFFFFF"/>
        <w:jc w:val="both"/>
        <w:rPr>
          <w:color w:val="000000"/>
          <w:sz w:val="24"/>
          <w:szCs w:val="24"/>
        </w:rPr>
      </w:pPr>
      <w:r>
        <w:rPr>
          <w:b/>
          <w:sz w:val="24"/>
          <w:szCs w:val="24"/>
        </w:rPr>
        <w:t>Hemocromatosis.</w:t>
      </w:r>
      <w:r>
        <w:rPr>
          <w:sz w:val="24"/>
          <w:szCs w:val="24"/>
        </w:rPr>
        <w:t xml:space="preserve">  Condición hereditaria que afecta al almacenaje del hierro. El 80% de los hombres con hemocromatosis tiene disfunción testicular.</w:t>
      </w:r>
    </w:p>
    <w:p w:rsidR="00E212EB" w:rsidRDefault="00C867E7">
      <w:pPr>
        <w:numPr>
          <w:ilvl w:val="0"/>
          <w:numId w:val="17"/>
        </w:numPr>
        <w:shd w:val="clear" w:color="auto" w:fill="FFFFFF"/>
        <w:jc w:val="both"/>
        <w:rPr>
          <w:color w:val="000000"/>
          <w:sz w:val="24"/>
          <w:szCs w:val="24"/>
        </w:rPr>
      </w:pPr>
      <w:r>
        <w:rPr>
          <w:b/>
          <w:sz w:val="24"/>
          <w:szCs w:val="24"/>
        </w:rPr>
        <w:t>Enfermedad drepano</w:t>
      </w:r>
      <w:r>
        <w:rPr>
          <w:b/>
          <w:sz w:val="24"/>
          <w:szCs w:val="24"/>
        </w:rPr>
        <w:t>cítica.</w:t>
      </w:r>
      <w:r>
        <w:rPr>
          <w:sz w:val="24"/>
          <w:szCs w:val="24"/>
        </w:rPr>
        <w:t xml:space="preserve">  Condición hereditaria que afecta a la producción normal de la hemoglobina.</w:t>
      </w:r>
    </w:p>
    <w:p w:rsidR="00E212EB" w:rsidRDefault="00C867E7">
      <w:pPr>
        <w:numPr>
          <w:ilvl w:val="0"/>
          <w:numId w:val="17"/>
        </w:numPr>
        <w:shd w:val="clear" w:color="auto" w:fill="FFFFFF"/>
        <w:jc w:val="both"/>
        <w:rPr>
          <w:color w:val="000000"/>
          <w:sz w:val="24"/>
          <w:szCs w:val="24"/>
        </w:rPr>
      </w:pPr>
      <w:r>
        <w:rPr>
          <w:b/>
          <w:sz w:val="24"/>
          <w:szCs w:val="24"/>
        </w:rPr>
        <w:t>Síndrome del sexo inverso.</w:t>
      </w:r>
      <w:r>
        <w:rPr>
          <w:sz w:val="24"/>
          <w:szCs w:val="24"/>
        </w:rPr>
        <w:t xml:space="preserve">  El hombre tiene los cromosomas sexuales del genotipo femenino (XX en lugar de XY), lo cual da como resultado la azoospermia y otras característi</w:t>
      </w:r>
      <w:r>
        <w:rPr>
          <w:sz w:val="24"/>
          <w:szCs w:val="24"/>
        </w:rPr>
        <w:t>cas.</w:t>
      </w:r>
    </w:p>
    <w:p w:rsidR="00E212EB" w:rsidRDefault="00C867E7">
      <w:pPr>
        <w:numPr>
          <w:ilvl w:val="0"/>
          <w:numId w:val="17"/>
        </w:numPr>
        <w:shd w:val="clear" w:color="auto" w:fill="FFFFFF"/>
        <w:jc w:val="both"/>
        <w:rPr>
          <w:color w:val="000000"/>
          <w:sz w:val="24"/>
          <w:szCs w:val="24"/>
        </w:rPr>
      </w:pPr>
      <w:r>
        <w:rPr>
          <w:b/>
          <w:sz w:val="24"/>
          <w:szCs w:val="24"/>
        </w:rPr>
        <w:t>Mutaciones del gen receptor de andrógeno.</w:t>
      </w:r>
      <w:r>
        <w:rPr>
          <w:sz w:val="24"/>
          <w:szCs w:val="24"/>
        </w:rPr>
        <w:t xml:space="preserve">  Condición hereditaria en la cual el hombre es genéticamente masculino (46 XY), pero es infértil debido a un defecto en los receptores de testosterona. El síndrome de insensibilidad a los andrógenos produce am</w:t>
      </w:r>
      <w:r>
        <w:rPr>
          <w:sz w:val="24"/>
          <w:szCs w:val="24"/>
        </w:rPr>
        <w:t>enorrea o infertilidad, constituye un trastorno recesivo ligado al cromosoma X.</w:t>
      </w:r>
    </w:p>
    <w:p w:rsidR="00E212EB" w:rsidRDefault="00C867E7">
      <w:pPr>
        <w:numPr>
          <w:ilvl w:val="0"/>
          <w:numId w:val="17"/>
        </w:numPr>
        <w:shd w:val="clear" w:color="auto" w:fill="FFFFFF"/>
        <w:jc w:val="both"/>
        <w:rPr>
          <w:color w:val="000000"/>
          <w:sz w:val="24"/>
          <w:szCs w:val="24"/>
        </w:rPr>
      </w:pPr>
      <w:r>
        <w:rPr>
          <w:b/>
          <w:sz w:val="24"/>
          <w:szCs w:val="24"/>
        </w:rPr>
        <w:t>Anomalías cromosómicas.</w:t>
      </w:r>
      <w:r>
        <w:rPr>
          <w:sz w:val="24"/>
          <w:szCs w:val="24"/>
        </w:rPr>
        <w:t xml:space="preserve">  Los hombres que tienen un cromosoma sexual X adicional, conocido como síndrome de Klinefelter, a menudo no producen esperma o lo producen en muy pocas </w:t>
      </w:r>
      <w:r>
        <w:rPr>
          <w:sz w:val="24"/>
          <w:szCs w:val="24"/>
        </w:rPr>
        <w:t>cantidades.</w:t>
      </w:r>
    </w:p>
    <w:p w:rsidR="00E212EB" w:rsidRDefault="00C867E7">
      <w:pPr>
        <w:numPr>
          <w:ilvl w:val="0"/>
          <w:numId w:val="17"/>
        </w:numPr>
        <w:shd w:val="clear" w:color="auto" w:fill="FFFFFF"/>
        <w:jc w:val="both"/>
        <w:rPr>
          <w:color w:val="000000"/>
          <w:sz w:val="24"/>
          <w:szCs w:val="24"/>
        </w:rPr>
      </w:pPr>
      <w:r>
        <w:rPr>
          <w:b/>
          <w:sz w:val="24"/>
          <w:szCs w:val="24"/>
        </w:rPr>
        <w:t>Redistribución de cromosomas.</w:t>
      </w:r>
      <w:r>
        <w:rPr>
          <w:sz w:val="24"/>
          <w:szCs w:val="24"/>
        </w:rPr>
        <w:t xml:space="preserve">  Algunas personas tienen el número normal de cromosomas (46) en el núcleo de las células, pero se ha llevado a cabo una redistribución en el material de los cromosomas, mediante la cual una parte del cromosoma ha c</w:t>
      </w:r>
      <w:r>
        <w:rPr>
          <w:sz w:val="24"/>
          <w:szCs w:val="24"/>
        </w:rPr>
        <w:t>ambiado de lugar con otra; los hombres con azoospermia u oligospermia tienen una frecuencia más alta de redistribución de cromosomas en comparación con la población general.</w:t>
      </w:r>
    </w:p>
    <w:p w:rsidR="00E212EB" w:rsidRDefault="00C867E7">
      <w:pPr>
        <w:numPr>
          <w:ilvl w:val="0"/>
          <w:numId w:val="17"/>
        </w:numPr>
        <w:shd w:val="clear" w:color="auto" w:fill="FFFFFF"/>
        <w:jc w:val="both"/>
        <w:rPr>
          <w:color w:val="000000"/>
          <w:sz w:val="24"/>
          <w:szCs w:val="24"/>
        </w:rPr>
      </w:pPr>
      <w:r>
        <w:rPr>
          <w:b/>
          <w:sz w:val="24"/>
          <w:szCs w:val="24"/>
        </w:rPr>
        <w:t>Supresiones en el cromosoma Y.</w:t>
      </w:r>
      <w:r>
        <w:rPr>
          <w:sz w:val="24"/>
          <w:szCs w:val="24"/>
        </w:rPr>
        <w:t xml:space="preserve">  Algunas personas tienen el número normal de cromos</w:t>
      </w:r>
      <w:r>
        <w:rPr>
          <w:sz w:val="24"/>
          <w:szCs w:val="24"/>
        </w:rPr>
        <w:t>omas (46) en las células del cuerpo, pero no se encuentran pequeñas secciones del cromosoma Y o se han suprimido; un porcentaje pequeño de los hombres con azoospermia u oligospermia tienen supresiones en el cromosoma Y.</w:t>
      </w:r>
      <w:r>
        <w:rPr>
          <w:sz w:val="24"/>
          <w:szCs w:val="24"/>
        </w:rPr>
        <w:br/>
        <w:t>Es importante entender que los hombr</w:t>
      </w:r>
      <w:r>
        <w:rPr>
          <w:sz w:val="24"/>
          <w:szCs w:val="24"/>
        </w:rPr>
        <w:t>es con problemas genéticos que causan infertilidad, como la supresión en el cromosoma Y, pueden transmitirles este problema a sus hijos varones, quienes también serán infértiles si eligen usar su propio esperma para lograr un embarazo.</w:t>
      </w:r>
    </w:p>
    <w:p w:rsidR="00E212EB" w:rsidRDefault="00E212EB">
      <w:pPr>
        <w:shd w:val="clear" w:color="auto" w:fill="FFFFFF"/>
        <w:ind w:left="720"/>
        <w:jc w:val="both"/>
        <w:rPr>
          <w:sz w:val="24"/>
          <w:szCs w:val="24"/>
        </w:rPr>
      </w:pPr>
    </w:p>
    <w:p w:rsidR="00E212EB" w:rsidRDefault="00C867E7">
      <w:pPr>
        <w:shd w:val="clear" w:color="auto" w:fill="FFFFFF"/>
        <w:ind w:left="720"/>
        <w:jc w:val="both"/>
        <w:rPr>
          <w:sz w:val="24"/>
          <w:szCs w:val="24"/>
        </w:rPr>
      </w:pPr>
      <w:r>
        <w:rPr>
          <w:noProof/>
          <w:sz w:val="24"/>
          <w:szCs w:val="24"/>
        </w:rPr>
        <w:drawing>
          <wp:inline distT="114300" distB="114300" distL="114300" distR="114300">
            <wp:extent cx="5610225" cy="24288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0225" cy="2428875"/>
                    </a:xfrm>
                    <a:prstGeom prst="rect">
                      <a:avLst/>
                    </a:prstGeom>
                    <a:ln/>
                  </pic:spPr>
                </pic:pic>
              </a:graphicData>
            </a:graphic>
          </wp:inline>
        </w:drawing>
      </w:r>
    </w:p>
    <w:p w:rsidR="00E212EB" w:rsidRDefault="00C867E7">
      <w:pPr>
        <w:shd w:val="clear" w:color="auto" w:fill="FFFFFF"/>
        <w:spacing w:after="680" w:line="256" w:lineRule="auto"/>
        <w:ind w:left="-20"/>
        <w:jc w:val="both"/>
        <w:rPr>
          <w:sz w:val="24"/>
          <w:szCs w:val="24"/>
        </w:rPr>
      </w:pPr>
      <w:r>
        <w:rPr>
          <w:b/>
          <w:sz w:val="24"/>
          <w:szCs w:val="24"/>
        </w:rPr>
        <w:t xml:space="preserve">Figura </w:t>
      </w:r>
      <w:r>
        <w:rPr>
          <w:b/>
          <w:sz w:val="24"/>
          <w:szCs w:val="24"/>
        </w:rPr>
        <w:tab/>
        <w:t>1.</w:t>
      </w:r>
      <w:r>
        <w:rPr>
          <w:sz w:val="24"/>
          <w:szCs w:val="24"/>
        </w:rPr>
        <w:t xml:space="preserve"> Estruc</w:t>
      </w:r>
      <w:r>
        <w:rPr>
          <w:sz w:val="24"/>
          <w:szCs w:val="24"/>
        </w:rPr>
        <w:t>tura del cromosoma Y, zonas implicadas en la azoospermia (AZF), tipo de eliminaciones y localización de los marcadores para diagnóstico de microdeleciones del cromosoma Y.</w:t>
      </w:r>
    </w:p>
    <w:p w:rsidR="00E212EB" w:rsidRDefault="00E212EB">
      <w:pPr>
        <w:shd w:val="clear" w:color="auto" w:fill="FFFFFF"/>
        <w:ind w:left="720"/>
        <w:jc w:val="both"/>
        <w:rPr>
          <w:sz w:val="24"/>
          <w:szCs w:val="24"/>
        </w:rPr>
      </w:pPr>
    </w:p>
    <w:p w:rsidR="00E212EB" w:rsidRDefault="00C867E7">
      <w:pPr>
        <w:numPr>
          <w:ilvl w:val="0"/>
          <w:numId w:val="17"/>
        </w:numPr>
        <w:jc w:val="both"/>
        <w:rPr>
          <w:sz w:val="24"/>
          <w:szCs w:val="24"/>
        </w:rPr>
      </w:pPr>
      <w:r>
        <w:rPr>
          <w:sz w:val="24"/>
          <w:szCs w:val="24"/>
        </w:rPr>
        <w:t xml:space="preserve">Algunos pacientes con </w:t>
      </w:r>
      <w:r>
        <w:rPr>
          <w:b/>
          <w:sz w:val="24"/>
          <w:szCs w:val="24"/>
        </w:rPr>
        <w:t>síndrome de Usher,</w:t>
      </w:r>
      <w:r>
        <w:rPr>
          <w:sz w:val="24"/>
          <w:szCs w:val="24"/>
        </w:rPr>
        <w:t xml:space="preserve"> enfermedad autosómica recesiva que causa sordera y ceguera hereditaria, pueden presentar degeneración del axonema espermático que produce inmovilidad total de los espermatozoides.</w:t>
      </w:r>
    </w:p>
    <w:p w:rsidR="00E212EB" w:rsidRDefault="00E212EB">
      <w:pPr>
        <w:ind w:left="720"/>
        <w:jc w:val="both"/>
        <w:rPr>
          <w:sz w:val="24"/>
          <w:szCs w:val="24"/>
        </w:rPr>
      </w:pPr>
    </w:p>
    <w:p w:rsidR="00E212EB" w:rsidRDefault="00C867E7">
      <w:pPr>
        <w:ind w:left="720"/>
        <w:jc w:val="both"/>
        <w:rPr>
          <w:b/>
          <w:sz w:val="24"/>
          <w:szCs w:val="24"/>
          <w:u w:val="single"/>
        </w:rPr>
      </w:pPr>
      <w:r>
        <w:rPr>
          <w:b/>
          <w:sz w:val="24"/>
          <w:szCs w:val="24"/>
          <w:u w:val="single"/>
        </w:rPr>
        <w:t>Translocaciones:</w:t>
      </w:r>
    </w:p>
    <w:p w:rsidR="00E212EB" w:rsidRDefault="00E212EB">
      <w:pPr>
        <w:ind w:left="720"/>
        <w:jc w:val="both"/>
        <w:rPr>
          <w:b/>
          <w:sz w:val="24"/>
          <w:szCs w:val="24"/>
          <w:u w:val="single"/>
        </w:rPr>
      </w:pPr>
    </w:p>
    <w:p w:rsidR="00E212EB" w:rsidRDefault="00C867E7">
      <w:pPr>
        <w:numPr>
          <w:ilvl w:val="1"/>
          <w:numId w:val="17"/>
        </w:numPr>
        <w:jc w:val="both"/>
        <w:rPr>
          <w:sz w:val="24"/>
          <w:szCs w:val="24"/>
        </w:rPr>
      </w:pPr>
      <w:r>
        <w:rPr>
          <w:sz w:val="24"/>
          <w:szCs w:val="24"/>
          <w:u w:val="single"/>
        </w:rPr>
        <w:t>Translocación reciproca autosoma-X</w:t>
      </w:r>
      <w:r>
        <w:rPr>
          <w:sz w:val="24"/>
          <w:szCs w:val="24"/>
        </w:rPr>
        <w:t xml:space="preserve">: Los </w:t>
      </w:r>
      <w:r>
        <w:rPr>
          <w:sz w:val="24"/>
          <w:szCs w:val="24"/>
          <w:u w:val="single"/>
        </w:rPr>
        <w:t>varones</w:t>
      </w:r>
      <w:r>
        <w:rPr>
          <w:sz w:val="24"/>
          <w:szCs w:val="24"/>
        </w:rPr>
        <w:t xml:space="preserve"> con tran</w:t>
      </w:r>
      <w:r>
        <w:rPr>
          <w:sz w:val="24"/>
          <w:szCs w:val="24"/>
        </w:rPr>
        <w:t xml:space="preserve">slocaciones recíprocas autosoma-X pueden presentar </w:t>
      </w:r>
      <w:r>
        <w:rPr>
          <w:b/>
          <w:sz w:val="24"/>
          <w:szCs w:val="24"/>
        </w:rPr>
        <w:t>detención espermatogénica severa</w:t>
      </w:r>
      <w:r>
        <w:rPr>
          <w:sz w:val="24"/>
          <w:szCs w:val="24"/>
        </w:rPr>
        <w:t xml:space="preserve"> que frecuentemente resulta en </w:t>
      </w:r>
      <w:r>
        <w:rPr>
          <w:b/>
          <w:sz w:val="24"/>
          <w:szCs w:val="24"/>
        </w:rPr>
        <w:t>azoospermia</w:t>
      </w:r>
      <w:r>
        <w:rPr>
          <w:sz w:val="24"/>
          <w:szCs w:val="24"/>
        </w:rPr>
        <w:t xml:space="preserve">. </w:t>
      </w:r>
    </w:p>
    <w:p w:rsidR="00E212EB" w:rsidRDefault="00C867E7">
      <w:pPr>
        <w:numPr>
          <w:ilvl w:val="1"/>
          <w:numId w:val="17"/>
        </w:numPr>
        <w:jc w:val="both"/>
        <w:rPr>
          <w:sz w:val="24"/>
          <w:szCs w:val="24"/>
        </w:rPr>
      </w:pPr>
      <w:r>
        <w:rPr>
          <w:sz w:val="24"/>
          <w:szCs w:val="24"/>
          <w:u w:val="single"/>
        </w:rPr>
        <w:t>Translocación recíproca autosoma-Y</w:t>
      </w:r>
      <w:r>
        <w:rPr>
          <w:sz w:val="24"/>
          <w:szCs w:val="24"/>
        </w:rPr>
        <w:t xml:space="preserve">: Las translocaciones recíprocas autosoma-Y pueden dar lugar a una </w:t>
      </w:r>
      <w:r>
        <w:rPr>
          <w:b/>
          <w:sz w:val="24"/>
          <w:szCs w:val="24"/>
        </w:rPr>
        <w:t>espermatogénesis aberrante</w:t>
      </w:r>
      <w:r>
        <w:rPr>
          <w:sz w:val="24"/>
          <w:szCs w:val="24"/>
        </w:rPr>
        <w:t xml:space="preserve"> </w:t>
      </w:r>
      <w:r>
        <w:rPr>
          <w:sz w:val="24"/>
          <w:szCs w:val="24"/>
        </w:rPr>
        <w:t xml:space="preserve">debido a un apareamiento anormal de cromosomas sexuales. </w:t>
      </w:r>
    </w:p>
    <w:p w:rsidR="00E212EB" w:rsidRDefault="00C867E7">
      <w:pPr>
        <w:numPr>
          <w:ilvl w:val="1"/>
          <w:numId w:val="17"/>
        </w:numPr>
        <w:jc w:val="both"/>
        <w:rPr>
          <w:sz w:val="24"/>
          <w:szCs w:val="24"/>
        </w:rPr>
      </w:pPr>
      <w:r>
        <w:rPr>
          <w:sz w:val="24"/>
          <w:szCs w:val="24"/>
          <w:u w:val="single"/>
        </w:rPr>
        <w:t>Translocación robertsoniana</w:t>
      </w:r>
      <w:r>
        <w:rPr>
          <w:sz w:val="24"/>
          <w:szCs w:val="24"/>
        </w:rPr>
        <w:t>: La translocación robertsoniana más común observada en varones infértiles es t(13q14q). Los estudios meióticos de portadores infértiles de t (13q14q) y t (14q21q) revelan</w:t>
      </w:r>
      <w:r>
        <w:rPr>
          <w:sz w:val="24"/>
          <w:szCs w:val="24"/>
        </w:rPr>
        <w:t xml:space="preserve"> un comportamiento anormal de los autosomas reorganizados en la meiosis durante la espermatogénesis que causa infertilidad. </w:t>
      </w:r>
    </w:p>
    <w:p w:rsidR="00E212EB" w:rsidRDefault="00E212EB">
      <w:pPr>
        <w:jc w:val="both"/>
        <w:rPr>
          <w:b/>
          <w:sz w:val="24"/>
          <w:szCs w:val="24"/>
          <w:u w:val="single"/>
        </w:rPr>
      </w:pPr>
    </w:p>
    <w:p w:rsidR="00E212EB" w:rsidRDefault="00C867E7">
      <w:pPr>
        <w:ind w:left="720"/>
        <w:jc w:val="both"/>
        <w:rPr>
          <w:b/>
          <w:sz w:val="24"/>
          <w:szCs w:val="24"/>
        </w:rPr>
      </w:pPr>
      <w:r>
        <w:rPr>
          <w:b/>
          <w:sz w:val="24"/>
          <w:szCs w:val="24"/>
          <w:u w:val="single"/>
        </w:rPr>
        <w:t>Trastornos cromosómicos</w:t>
      </w:r>
      <w:r>
        <w:rPr>
          <w:b/>
          <w:sz w:val="24"/>
          <w:szCs w:val="24"/>
        </w:rPr>
        <w:t xml:space="preserve">: aneuploidía constitucional  </w:t>
      </w:r>
    </w:p>
    <w:p w:rsidR="00E212EB" w:rsidRDefault="00E212EB">
      <w:pPr>
        <w:ind w:left="720"/>
        <w:jc w:val="both"/>
        <w:rPr>
          <w:b/>
          <w:sz w:val="24"/>
          <w:szCs w:val="24"/>
        </w:rPr>
      </w:pPr>
    </w:p>
    <w:p w:rsidR="00E212EB" w:rsidRDefault="00C867E7">
      <w:pPr>
        <w:numPr>
          <w:ilvl w:val="1"/>
          <w:numId w:val="2"/>
        </w:numPr>
        <w:jc w:val="both"/>
        <w:rPr>
          <w:b/>
          <w:sz w:val="24"/>
          <w:szCs w:val="24"/>
        </w:rPr>
      </w:pPr>
      <w:r>
        <w:rPr>
          <w:i/>
          <w:sz w:val="24"/>
          <w:szCs w:val="24"/>
        </w:rPr>
        <w:t>Síndrome de Klinefelter (47, XXY)</w:t>
      </w:r>
      <w:r>
        <w:rPr>
          <w:sz w:val="24"/>
          <w:szCs w:val="24"/>
        </w:rPr>
        <w:t xml:space="preserve">. </w:t>
      </w:r>
      <w:r>
        <w:rPr>
          <w:sz w:val="24"/>
          <w:szCs w:val="24"/>
        </w:rPr>
        <w:t>El síndrome de Klinefelter se presenta en 1 de cada 100 varones, y se asocia generalmente con el cariotipo 47,XXY, que puede estar en todas las células (trisomía completa) o en forma de "mosaico". Hay varios grados de insuficiencia espermatogénica, pero lo</w:t>
      </w:r>
      <w:r>
        <w:rPr>
          <w:sz w:val="24"/>
          <w:szCs w:val="24"/>
        </w:rPr>
        <w:t xml:space="preserve">s hombres generalmente son estériles a menos que sean mosaicos. Incluso en casos de trisomía completa aparente, se ha demostrado que las células germinales funcionales son XY (por lo tanto los pacientes son mosaicos gonadales) y existe evidencia de que el </w:t>
      </w:r>
      <w:r>
        <w:rPr>
          <w:sz w:val="24"/>
          <w:szCs w:val="24"/>
        </w:rPr>
        <w:t>entorno testicular comprometido en estos hombres conduce a un aumento de los errores de segregación cromosómica. Por tanto, l</w:t>
      </w:r>
      <w:r>
        <w:rPr>
          <w:b/>
          <w:sz w:val="24"/>
          <w:szCs w:val="24"/>
        </w:rPr>
        <w:t>os varones con síndrome de Klinefelter que se reproducen tienen más probabilidades de tener descendencia aneuploide</w:t>
      </w:r>
      <w:r>
        <w:rPr>
          <w:sz w:val="24"/>
          <w:szCs w:val="24"/>
        </w:rPr>
        <w:t xml:space="preserve">. </w:t>
      </w:r>
    </w:p>
    <w:p w:rsidR="00E212EB" w:rsidRDefault="00C867E7">
      <w:pPr>
        <w:numPr>
          <w:ilvl w:val="1"/>
          <w:numId w:val="2"/>
        </w:numPr>
        <w:jc w:val="both"/>
        <w:rPr>
          <w:b/>
          <w:sz w:val="24"/>
          <w:szCs w:val="24"/>
        </w:rPr>
      </w:pPr>
      <w:r>
        <w:rPr>
          <w:i/>
          <w:sz w:val="24"/>
          <w:szCs w:val="24"/>
        </w:rPr>
        <w:t>Hombres 47,XY</w:t>
      </w:r>
      <w:r>
        <w:rPr>
          <w:i/>
          <w:sz w:val="24"/>
          <w:szCs w:val="24"/>
        </w:rPr>
        <w:t>Y</w:t>
      </w:r>
      <w:r>
        <w:rPr>
          <w:sz w:val="24"/>
          <w:szCs w:val="24"/>
        </w:rPr>
        <w:t xml:space="preserve"> </w:t>
      </w:r>
      <w:r>
        <w:rPr>
          <w:sz w:val="24"/>
          <w:szCs w:val="24"/>
        </w:rPr>
        <w:br/>
        <w:t>Presente en uno de cada 1000 nacimientos masculinos, 47,XYY surge a través de la no disyunción meiótica II paterna del cromosoma Y. Esto provoca un equilibrio hormonal aberrante en el entorno gonadal que afecta la función normal de la gonadotropina cori</w:t>
      </w:r>
      <w:r>
        <w:rPr>
          <w:sz w:val="24"/>
          <w:szCs w:val="24"/>
        </w:rPr>
        <w:t>ónica humana. Es habitual cierta alteración espermatogénica.</w:t>
      </w:r>
    </w:p>
    <w:p w:rsidR="00E212EB" w:rsidRDefault="00C867E7">
      <w:pPr>
        <w:numPr>
          <w:ilvl w:val="1"/>
          <w:numId w:val="2"/>
        </w:numPr>
        <w:jc w:val="both"/>
        <w:rPr>
          <w:b/>
          <w:sz w:val="24"/>
          <w:szCs w:val="24"/>
        </w:rPr>
      </w:pPr>
      <w:r>
        <w:rPr>
          <w:i/>
          <w:sz w:val="24"/>
          <w:szCs w:val="24"/>
        </w:rPr>
        <w:t>Síndrome de Down</w:t>
      </w:r>
      <w:r>
        <w:rPr>
          <w:sz w:val="24"/>
          <w:szCs w:val="24"/>
        </w:rPr>
        <w:t xml:space="preserve"> (trisomía 21) </w:t>
      </w:r>
      <w:r>
        <w:rPr>
          <w:sz w:val="24"/>
          <w:szCs w:val="24"/>
        </w:rPr>
        <w:br/>
        <w:t>La trisomía 21 es la principal causa de retraso mental en los seres humanos y ocurre en aproximadamente uno de cada 700 nacimientos. Los hombres afectados son esté</w:t>
      </w:r>
      <w:r>
        <w:rPr>
          <w:sz w:val="24"/>
          <w:szCs w:val="24"/>
        </w:rPr>
        <w:t xml:space="preserve">riles: el fenotipo incluye </w:t>
      </w:r>
      <w:r>
        <w:rPr>
          <w:b/>
          <w:sz w:val="24"/>
          <w:szCs w:val="24"/>
        </w:rPr>
        <w:t>detención espermatogénica, reducción del número de células germinales y túbulos hilinizados</w:t>
      </w:r>
      <w:r>
        <w:rPr>
          <w:sz w:val="24"/>
          <w:szCs w:val="24"/>
        </w:rPr>
        <w:t xml:space="preserve">. El mecanismo por el cual la trisomía 21 afecta la infertilidad masculina no está claro, pero se cree que puede deberse a una </w:t>
      </w:r>
      <w:r>
        <w:rPr>
          <w:sz w:val="24"/>
          <w:szCs w:val="24"/>
          <w:u w:val="single"/>
        </w:rPr>
        <w:t>menor proli</w:t>
      </w:r>
      <w:r>
        <w:rPr>
          <w:sz w:val="24"/>
          <w:szCs w:val="24"/>
          <w:u w:val="single"/>
        </w:rPr>
        <w:t>feración de células germinales primordiales durante la migración a la cresta gonadal, quizás asociada con una tasa acelerada de apoptosis</w:t>
      </w:r>
      <w:r>
        <w:rPr>
          <w:sz w:val="24"/>
          <w:szCs w:val="24"/>
        </w:rPr>
        <w:t xml:space="preserve"> </w:t>
      </w:r>
    </w:p>
    <w:p w:rsidR="00E212EB" w:rsidRDefault="00E212EB">
      <w:pPr>
        <w:jc w:val="both"/>
        <w:rPr>
          <w:sz w:val="24"/>
          <w:szCs w:val="24"/>
        </w:rPr>
      </w:pPr>
    </w:p>
    <w:p w:rsidR="00E212EB" w:rsidRDefault="00C867E7">
      <w:pPr>
        <w:ind w:left="720"/>
        <w:jc w:val="both"/>
        <w:rPr>
          <w:sz w:val="24"/>
          <w:szCs w:val="24"/>
        </w:rPr>
      </w:pPr>
      <w:r>
        <w:rPr>
          <w:b/>
          <w:sz w:val="24"/>
          <w:szCs w:val="24"/>
        </w:rPr>
        <w:t xml:space="preserve">Genes y microdeleciones del cromosoma Y afectando la fertilidad </w:t>
      </w:r>
      <w:r>
        <w:rPr>
          <w:b/>
          <w:sz w:val="24"/>
          <w:szCs w:val="24"/>
        </w:rPr>
        <w:br/>
      </w:r>
      <w:r>
        <w:rPr>
          <w:sz w:val="24"/>
          <w:szCs w:val="24"/>
        </w:rPr>
        <w:t>La región Yq11 de AZF (factor de azoospermia) conti</w:t>
      </w:r>
      <w:r>
        <w:rPr>
          <w:sz w:val="24"/>
          <w:szCs w:val="24"/>
        </w:rPr>
        <w:t>ene genes vitales para la espermatogénesis. Se subdividió esta región en AZFa, AZFb y AZFc. Las deleciones dentro de estas subregiones causan diversos fenotipos espermatogénicos y de infertilidad y representan alrededor del 10 al 15% de la azoospermia y ol</w:t>
      </w:r>
      <w:r>
        <w:rPr>
          <w:sz w:val="24"/>
          <w:szCs w:val="24"/>
        </w:rPr>
        <w:t>igozoospermia idiopáticas. En su mayor parte, las deleciones en la región AZFa conducen al Síndrome de Solo Células de Sertoli y azoospermia (u oligozoospermia grave). Las deleciones de AZFb y AZFc tienen una gama más diversa de fenotipos. Las deleciones d</w:t>
      </w:r>
      <w:r>
        <w:rPr>
          <w:sz w:val="24"/>
          <w:szCs w:val="24"/>
        </w:rPr>
        <w:t xml:space="preserve">entro del intervalo AZFa ocurren con una frecuencia mucho menor que para AZFb y AZFc. </w:t>
      </w:r>
    </w:p>
    <w:p w:rsidR="00E212EB" w:rsidRDefault="00E212EB">
      <w:pPr>
        <w:ind w:left="1440"/>
        <w:rPr>
          <w:sz w:val="24"/>
          <w:szCs w:val="24"/>
        </w:rPr>
      </w:pPr>
    </w:p>
    <w:p w:rsidR="00E212EB" w:rsidRDefault="00C867E7">
      <w:pPr>
        <w:numPr>
          <w:ilvl w:val="0"/>
          <w:numId w:val="17"/>
        </w:numPr>
        <w:jc w:val="both"/>
        <w:rPr>
          <w:sz w:val="24"/>
          <w:szCs w:val="24"/>
        </w:rPr>
      </w:pPr>
      <w:r>
        <w:rPr>
          <w:b/>
          <w:sz w:val="24"/>
          <w:szCs w:val="24"/>
        </w:rPr>
        <w:t>Otras mutaciones</w:t>
      </w:r>
      <w:r>
        <w:rPr>
          <w:sz w:val="24"/>
          <w:szCs w:val="24"/>
        </w:rPr>
        <w:t xml:space="preserve"> por ejemplo en el brazo corto del cromosoma 1 y en el brazo largo del cromosoma 19 producen atrofia testicular y espermatozoides inmóviles, lo cual pro</w:t>
      </w:r>
      <w:r>
        <w:rPr>
          <w:sz w:val="24"/>
          <w:szCs w:val="24"/>
        </w:rPr>
        <w:t>voca trastorno severo en la reproducción masculina.</w:t>
      </w:r>
    </w:p>
    <w:p w:rsidR="00E212EB" w:rsidRDefault="00E212EB">
      <w:pPr>
        <w:rPr>
          <w:sz w:val="24"/>
          <w:szCs w:val="24"/>
        </w:rPr>
      </w:pPr>
    </w:p>
    <w:p w:rsidR="00E212EB" w:rsidRDefault="00E212EB">
      <w:pPr>
        <w:rPr>
          <w:sz w:val="24"/>
          <w:szCs w:val="24"/>
        </w:rPr>
      </w:pPr>
    </w:p>
    <w:p w:rsidR="00E212EB" w:rsidRDefault="00C867E7">
      <w:pPr>
        <w:jc w:val="center"/>
        <w:rPr>
          <w:b/>
          <w:sz w:val="24"/>
          <w:szCs w:val="24"/>
        </w:rPr>
      </w:pPr>
      <w:r>
        <w:rPr>
          <w:b/>
          <w:sz w:val="24"/>
          <w:szCs w:val="24"/>
          <w:u w:val="single"/>
        </w:rPr>
        <w:t>Genética e infertilidad femenina</w:t>
      </w:r>
      <w:r>
        <w:rPr>
          <w:b/>
          <w:sz w:val="24"/>
          <w:szCs w:val="24"/>
        </w:rPr>
        <w:t xml:space="preserve"> </w:t>
      </w:r>
    </w:p>
    <w:p w:rsidR="00E212EB" w:rsidRDefault="00E212EB">
      <w:pPr>
        <w:rPr>
          <w:b/>
          <w:sz w:val="24"/>
          <w:szCs w:val="24"/>
        </w:rPr>
      </w:pPr>
    </w:p>
    <w:p w:rsidR="00E212EB" w:rsidRDefault="00C867E7">
      <w:pPr>
        <w:rPr>
          <w:sz w:val="24"/>
          <w:szCs w:val="24"/>
        </w:rPr>
      </w:pPr>
      <w:r>
        <w:rPr>
          <w:sz w:val="24"/>
          <w:szCs w:val="24"/>
        </w:rPr>
        <w:t xml:space="preserve">En las mujeres se pueden dividir las causas genéticas en anomalías de los cromosomas sexuales, alteraciones de los genes y otras (tabla 5). </w:t>
      </w:r>
    </w:p>
    <w:p w:rsidR="00E212EB" w:rsidRDefault="00E212EB">
      <w:pPr>
        <w:rPr>
          <w:sz w:val="24"/>
          <w:szCs w:val="24"/>
        </w:rPr>
      </w:pPr>
    </w:p>
    <w:tbl>
      <w:tblPr>
        <w:tblStyle w:val="a"/>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160"/>
        <w:gridCol w:w="4710"/>
      </w:tblGrid>
      <w:tr w:rsidR="00E212EB">
        <w:trPr>
          <w:trHeight w:val="405"/>
        </w:trPr>
        <w:tc>
          <w:tcPr>
            <w:tcW w:w="9870" w:type="dxa"/>
            <w:gridSpan w:val="2"/>
            <w:tcBorders>
              <w:top w:val="nil"/>
              <w:left w:val="nil"/>
              <w:bottom w:val="nil"/>
              <w:right w:val="nil"/>
            </w:tcBorders>
            <w:shd w:val="clear" w:color="auto" w:fill="C04108"/>
            <w:tcMar>
              <w:top w:w="100" w:type="dxa"/>
              <w:left w:w="100" w:type="dxa"/>
              <w:bottom w:w="100" w:type="dxa"/>
              <w:right w:w="60" w:type="dxa"/>
            </w:tcMar>
          </w:tcPr>
          <w:p w:rsidR="00E212EB" w:rsidRDefault="00C867E7">
            <w:pPr>
              <w:spacing w:line="256" w:lineRule="auto"/>
              <w:ind w:left="-40" w:right="80"/>
              <w:jc w:val="center"/>
              <w:rPr>
                <w:b/>
                <w:color w:val="FFFFFF"/>
                <w:sz w:val="24"/>
                <w:szCs w:val="24"/>
              </w:rPr>
            </w:pPr>
            <w:r>
              <w:rPr>
                <w:b/>
                <w:color w:val="FFFFFF"/>
                <w:sz w:val="24"/>
                <w:szCs w:val="24"/>
              </w:rPr>
              <w:t>Tabla 5. Genética de la infertilidad femenina</w:t>
            </w:r>
          </w:p>
        </w:tc>
      </w:tr>
      <w:tr w:rsidR="00E212EB">
        <w:trPr>
          <w:trHeight w:val="515"/>
        </w:trPr>
        <w:tc>
          <w:tcPr>
            <w:tcW w:w="5160" w:type="dxa"/>
            <w:tcBorders>
              <w:top w:val="nil"/>
              <w:left w:val="nil"/>
              <w:bottom w:val="nil"/>
              <w:right w:val="single" w:sz="8" w:space="0" w:color="C04108"/>
            </w:tcBorders>
            <w:shd w:val="clear" w:color="auto" w:fill="F9ECE6"/>
            <w:tcMar>
              <w:top w:w="100" w:type="dxa"/>
              <w:left w:w="100" w:type="dxa"/>
              <w:bottom w:w="100" w:type="dxa"/>
              <w:right w:w="60" w:type="dxa"/>
            </w:tcMar>
          </w:tcPr>
          <w:p w:rsidR="00E212EB" w:rsidRDefault="00C867E7">
            <w:pPr>
              <w:spacing w:line="256" w:lineRule="auto"/>
              <w:ind w:left="-20" w:right="-40"/>
              <w:rPr>
                <w:b/>
                <w:sz w:val="24"/>
                <w:szCs w:val="24"/>
              </w:rPr>
            </w:pPr>
            <w:r>
              <w:rPr>
                <w:b/>
                <w:sz w:val="24"/>
                <w:szCs w:val="24"/>
              </w:rPr>
              <w:t>Alteraciones en el</w:t>
            </w:r>
          </w:p>
        </w:tc>
        <w:tc>
          <w:tcPr>
            <w:tcW w:w="4710" w:type="dxa"/>
            <w:tcBorders>
              <w:top w:val="nil"/>
              <w:left w:val="nil"/>
              <w:bottom w:val="nil"/>
              <w:right w:val="nil"/>
            </w:tcBorders>
            <w:shd w:val="clear" w:color="auto" w:fill="F9ECE6"/>
            <w:tcMar>
              <w:top w:w="100" w:type="dxa"/>
              <w:left w:w="100" w:type="dxa"/>
              <w:bottom w:w="100" w:type="dxa"/>
              <w:right w:w="60" w:type="dxa"/>
            </w:tcMar>
          </w:tcPr>
          <w:p w:rsidR="00E212EB" w:rsidRDefault="00C867E7">
            <w:pPr>
              <w:spacing w:line="256" w:lineRule="auto"/>
              <w:ind w:left="-40" w:right="-40"/>
              <w:rPr>
                <w:sz w:val="24"/>
                <w:szCs w:val="24"/>
              </w:rPr>
            </w:pPr>
            <w:r>
              <w:rPr>
                <w:sz w:val="24"/>
                <w:szCs w:val="24"/>
              </w:rPr>
              <w:t>Síndrome de Turner</w:t>
            </w:r>
          </w:p>
        </w:tc>
      </w:tr>
      <w:tr w:rsidR="00E212EB">
        <w:trPr>
          <w:trHeight w:val="905"/>
        </w:trPr>
        <w:tc>
          <w:tcPr>
            <w:tcW w:w="5160" w:type="dxa"/>
            <w:tcBorders>
              <w:top w:val="nil"/>
              <w:left w:val="nil"/>
              <w:bottom w:val="single" w:sz="8" w:space="0" w:color="C04108"/>
              <w:right w:val="single" w:sz="8" w:space="0" w:color="C04108"/>
            </w:tcBorders>
            <w:shd w:val="clear" w:color="auto" w:fill="F9ECE6"/>
            <w:tcMar>
              <w:top w:w="100" w:type="dxa"/>
              <w:left w:w="100" w:type="dxa"/>
              <w:bottom w:w="100" w:type="dxa"/>
              <w:right w:w="60" w:type="dxa"/>
            </w:tcMar>
          </w:tcPr>
          <w:p w:rsidR="00E212EB" w:rsidRDefault="00C867E7">
            <w:pPr>
              <w:spacing w:line="256" w:lineRule="auto"/>
              <w:ind w:left="-20" w:right="-40"/>
              <w:rPr>
                <w:b/>
                <w:sz w:val="24"/>
                <w:szCs w:val="24"/>
              </w:rPr>
            </w:pPr>
            <w:r>
              <w:rPr>
                <w:b/>
                <w:sz w:val="24"/>
                <w:szCs w:val="24"/>
              </w:rPr>
              <w:t>cromosoma X</w:t>
            </w:r>
          </w:p>
        </w:tc>
        <w:tc>
          <w:tcPr>
            <w:tcW w:w="4710" w:type="dxa"/>
            <w:tcBorders>
              <w:top w:val="nil"/>
              <w:left w:val="nil"/>
              <w:bottom w:val="single" w:sz="8" w:space="0" w:color="C04108"/>
              <w:right w:val="nil"/>
            </w:tcBorders>
            <w:shd w:val="clear" w:color="auto" w:fill="F9ECE6"/>
            <w:tcMar>
              <w:top w:w="100" w:type="dxa"/>
              <w:left w:w="100" w:type="dxa"/>
              <w:bottom w:w="100" w:type="dxa"/>
              <w:right w:w="60" w:type="dxa"/>
            </w:tcMar>
          </w:tcPr>
          <w:p w:rsidR="00E212EB" w:rsidRDefault="00C867E7">
            <w:pPr>
              <w:spacing w:after="40" w:line="256" w:lineRule="auto"/>
              <w:ind w:left="-40" w:right="-40"/>
              <w:rPr>
                <w:sz w:val="24"/>
                <w:szCs w:val="24"/>
              </w:rPr>
            </w:pPr>
            <w:r>
              <w:rPr>
                <w:sz w:val="24"/>
                <w:szCs w:val="24"/>
              </w:rPr>
              <w:t>Amenorrea primaria</w:t>
            </w:r>
          </w:p>
          <w:p w:rsidR="00E212EB" w:rsidRDefault="00C867E7">
            <w:pPr>
              <w:spacing w:line="256" w:lineRule="auto"/>
              <w:ind w:left="-40" w:right="-40"/>
              <w:rPr>
                <w:sz w:val="24"/>
                <w:szCs w:val="24"/>
              </w:rPr>
            </w:pPr>
            <w:r>
              <w:rPr>
                <w:sz w:val="24"/>
                <w:szCs w:val="24"/>
              </w:rPr>
              <w:t>Irregularidades del ciclo menstrual</w:t>
            </w:r>
          </w:p>
        </w:tc>
      </w:tr>
      <w:tr w:rsidR="00E212EB">
        <w:trPr>
          <w:trHeight w:val="1040"/>
        </w:trPr>
        <w:tc>
          <w:tcPr>
            <w:tcW w:w="5160" w:type="dxa"/>
            <w:tcBorders>
              <w:top w:val="nil"/>
              <w:left w:val="nil"/>
              <w:bottom w:val="nil"/>
              <w:right w:val="single" w:sz="8" w:space="0" w:color="C04108"/>
            </w:tcBorders>
            <w:shd w:val="clear" w:color="auto" w:fill="F9ECE6"/>
            <w:tcMar>
              <w:top w:w="100" w:type="dxa"/>
              <w:left w:w="100" w:type="dxa"/>
              <w:bottom w:w="100" w:type="dxa"/>
              <w:right w:w="60" w:type="dxa"/>
            </w:tcMar>
          </w:tcPr>
          <w:p w:rsidR="00E212EB" w:rsidRDefault="00C867E7">
            <w:pPr>
              <w:spacing w:line="256" w:lineRule="auto"/>
              <w:ind w:left="-20" w:right="-40"/>
              <w:rPr>
                <w:b/>
                <w:sz w:val="24"/>
                <w:szCs w:val="24"/>
              </w:rPr>
            </w:pPr>
            <w:r>
              <w:rPr>
                <w:b/>
                <w:sz w:val="24"/>
                <w:szCs w:val="24"/>
              </w:rPr>
              <w:t xml:space="preserve">Mutaciones genéticas que afectan la reproducción femenina </w:t>
            </w:r>
          </w:p>
          <w:p w:rsidR="00E212EB" w:rsidRDefault="00C867E7">
            <w:pPr>
              <w:spacing w:line="256" w:lineRule="auto"/>
              <w:ind w:left="-20" w:right="-40"/>
              <w:rPr>
                <w:sz w:val="24"/>
                <w:szCs w:val="24"/>
              </w:rPr>
            </w:pPr>
            <w:r>
              <w:rPr>
                <w:sz w:val="24"/>
                <w:szCs w:val="24"/>
              </w:rPr>
              <w:t>ZFX</w:t>
            </w:r>
          </w:p>
        </w:tc>
        <w:tc>
          <w:tcPr>
            <w:tcW w:w="4710" w:type="dxa"/>
            <w:tcBorders>
              <w:top w:val="nil"/>
              <w:left w:val="nil"/>
              <w:bottom w:val="nil"/>
              <w:right w:val="nil"/>
            </w:tcBorders>
            <w:shd w:val="clear" w:color="auto" w:fill="F9ECE6"/>
            <w:tcMar>
              <w:top w:w="100" w:type="dxa"/>
              <w:left w:w="100" w:type="dxa"/>
              <w:bottom w:w="100" w:type="dxa"/>
              <w:right w:w="60" w:type="dxa"/>
            </w:tcMar>
            <w:vAlign w:val="bottom"/>
          </w:tcPr>
          <w:p w:rsidR="00E212EB" w:rsidRDefault="00C867E7">
            <w:pPr>
              <w:spacing w:line="256" w:lineRule="auto"/>
              <w:ind w:left="-40" w:right="-40"/>
              <w:rPr>
                <w:sz w:val="24"/>
                <w:szCs w:val="24"/>
              </w:rPr>
            </w:pPr>
            <w:r>
              <w:rPr>
                <w:sz w:val="24"/>
                <w:szCs w:val="24"/>
              </w:rPr>
              <w:t>Vida reproductiva más breve</w:t>
            </w:r>
          </w:p>
        </w:tc>
      </w:tr>
      <w:tr w:rsidR="00E212EB">
        <w:trPr>
          <w:trHeight w:val="470"/>
        </w:trPr>
        <w:tc>
          <w:tcPr>
            <w:tcW w:w="5160" w:type="dxa"/>
            <w:tcBorders>
              <w:top w:val="nil"/>
              <w:left w:val="nil"/>
              <w:bottom w:val="nil"/>
              <w:right w:val="single" w:sz="8" w:space="0" w:color="C04108"/>
            </w:tcBorders>
            <w:shd w:val="clear" w:color="auto" w:fill="F9ECE6"/>
            <w:tcMar>
              <w:top w:w="100" w:type="dxa"/>
              <w:left w:w="100" w:type="dxa"/>
              <w:bottom w:w="100" w:type="dxa"/>
              <w:right w:w="60" w:type="dxa"/>
            </w:tcMar>
          </w:tcPr>
          <w:p w:rsidR="00E212EB" w:rsidRDefault="00C867E7">
            <w:pPr>
              <w:spacing w:line="256" w:lineRule="auto"/>
              <w:ind w:left="-20" w:right="-40"/>
              <w:rPr>
                <w:sz w:val="24"/>
                <w:szCs w:val="24"/>
              </w:rPr>
            </w:pPr>
            <w:r>
              <w:rPr>
                <w:sz w:val="24"/>
                <w:szCs w:val="24"/>
              </w:rPr>
              <w:t>FRAXA</w:t>
            </w:r>
          </w:p>
        </w:tc>
        <w:tc>
          <w:tcPr>
            <w:tcW w:w="4710" w:type="dxa"/>
            <w:tcBorders>
              <w:top w:val="nil"/>
              <w:left w:val="nil"/>
              <w:bottom w:val="nil"/>
              <w:right w:val="nil"/>
            </w:tcBorders>
            <w:shd w:val="clear" w:color="auto" w:fill="F9ECE6"/>
            <w:tcMar>
              <w:top w:w="100" w:type="dxa"/>
              <w:left w:w="100" w:type="dxa"/>
              <w:bottom w:w="100" w:type="dxa"/>
              <w:right w:w="60" w:type="dxa"/>
            </w:tcMar>
          </w:tcPr>
          <w:p w:rsidR="00E212EB" w:rsidRDefault="00C867E7">
            <w:pPr>
              <w:spacing w:line="256" w:lineRule="auto"/>
              <w:ind w:left="-40" w:right="-40"/>
              <w:rPr>
                <w:sz w:val="24"/>
                <w:szCs w:val="24"/>
              </w:rPr>
            </w:pPr>
            <w:r>
              <w:rPr>
                <w:sz w:val="24"/>
                <w:szCs w:val="24"/>
              </w:rPr>
              <w:t>Insuficiencia ovárica prematura</w:t>
            </w:r>
          </w:p>
        </w:tc>
      </w:tr>
      <w:tr w:rsidR="00E212EB">
        <w:trPr>
          <w:trHeight w:val="470"/>
        </w:trPr>
        <w:tc>
          <w:tcPr>
            <w:tcW w:w="5160" w:type="dxa"/>
            <w:tcBorders>
              <w:top w:val="nil"/>
              <w:left w:val="nil"/>
              <w:bottom w:val="single" w:sz="8" w:space="0" w:color="C04108"/>
              <w:right w:val="single" w:sz="8" w:space="0" w:color="C04108"/>
            </w:tcBorders>
            <w:shd w:val="clear" w:color="auto" w:fill="F9ECE6"/>
            <w:tcMar>
              <w:top w:w="100" w:type="dxa"/>
              <w:left w:w="100" w:type="dxa"/>
              <w:bottom w:w="100" w:type="dxa"/>
              <w:right w:w="60" w:type="dxa"/>
            </w:tcMar>
          </w:tcPr>
          <w:p w:rsidR="00E212EB" w:rsidRDefault="00C867E7">
            <w:pPr>
              <w:spacing w:line="256" w:lineRule="auto"/>
              <w:ind w:left="-20" w:right="-40"/>
              <w:rPr>
                <w:sz w:val="24"/>
                <w:szCs w:val="24"/>
              </w:rPr>
            </w:pPr>
            <w:r>
              <w:rPr>
                <w:sz w:val="24"/>
                <w:szCs w:val="24"/>
              </w:rPr>
              <w:t>gen GnRH</w:t>
            </w:r>
          </w:p>
        </w:tc>
        <w:tc>
          <w:tcPr>
            <w:tcW w:w="4710" w:type="dxa"/>
            <w:tcBorders>
              <w:top w:val="nil"/>
              <w:left w:val="nil"/>
              <w:bottom w:val="single" w:sz="8" w:space="0" w:color="C04108"/>
              <w:right w:val="nil"/>
            </w:tcBorders>
            <w:shd w:val="clear" w:color="auto" w:fill="F9ECE6"/>
            <w:tcMar>
              <w:top w:w="100" w:type="dxa"/>
              <w:left w:w="100" w:type="dxa"/>
              <w:bottom w:w="100" w:type="dxa"/>
              <w:right w:w="60" w:type="dxa"/>
            </w:tcMar>
          </w:tcPr>
          <w:p w:rsidR="00E212EB" w:rsidRDefault="00C867E7">
            <w:pPr>
              <w:spacing w:line="256" w:lineRule="auto"/>
              <w:ind w:left="-40" w:right="-40"/>
              <w:rPr>
                <w:sz w:val="24"/>
                <w:szCs w:val="24"/>
              </w:rPr>
            </w:pPr>
            <w:r>
              <w:rPr>
                <w:sz w:val="24"/>
                <w:szCs w:val="24"/>
              </w:rPr>
              <w:t>Síndrome de Kallman</w:t>
            </w:r>
          </w:p>
        </w:tc>
      </w:tr>
      <w:tr w:rsidR="00E212EB">
        <w:trPr>
          <w:trHeight w:val="1100"/>
        </w:trPr>
        <w:tc>
          <w:tcPr>
            <w:tcW w:w="5160" w:type="dxa"/>
            <w:tcBorders>
              <w:top w:val="nil"/>
              <w:left w:val="nil"/>
              <w:bottom w:val="nil"/>
              <w:right w:val="single" w:sz="8" w:space="0" w:color="C04108"/>
            </w:tcBorders>
            <w:shd w:val="clear" w:color="auto" w:fill="F9ECE6"/>
            <w:tcMar>
              <w:top w:w="100" w:type="dxa"/>
              <w:left w:w="100" w:type="dxa"/>
              <w:bottom w:w="100" w:type="dxa"/>
              <w:right w:w="60" w:type="dxa"/>
            </w:tcMar>
          </w:tcPr>
          <w:p w:rsidR="00E212EB" w:rsidRDefault="00C867E7">
            <w:pPr>
              <w:spacing w:line="256" w:lineRule="auto"/>
              <w:ind w:left="-20" w:right="180"/>
              <w:rPr>
                <w:b/>
                <w:sz w:val="24"/>
                <w:szCs w:val="24"/>
              </w:rPr>
            </w:pPr>
            <w:r>
              <w:rPr>
                <w:b/>
                <w:sz w:val="24"/>
                <w:szCs w:val="24"/>
              </w:rPr>
              <w:t xml:space="preserve">Mutaciones de los genes en las hormonas esteroideas sexuales </w:t>
            </w:r>
          </w:p>
          <w:p w:rsidR="00E212EB" w:rsidRDefault="00C867E7">
            <w:pPr>
              <w:spacing w:line="256" w:lineRule="auto"/>
              <w:ind w:left="-20" w:right="180"/>
              <w:rPr>
                <w:sz w:val="24"/>
                <w:szCs w:val="24"/>
              </w:rPr>
            </w:pPr>
            <w:r>
              <w:rPr>
                <w:sz w:val="24"/>
                <w:szCs w:val="24"/>
              </w:rPr>
              <w:t>StAR</w:t>
            </w:r>
          </w:p>
        </w:tc>
        <w:tc>
          <w:tcPr>
            <w:tcW w:w="4710" w:type="dxa"/>
            <w:tcBorders>
              <w:top w:val="nil"/>
              <w:left w:val="nil"/>
              <w:bottom w:val="nil"/>
              <w:right w:val="nil"/>
            </w:tcBorders>
            <w:shd w:val="clear" w:color="auto" w:fill="F9ECE6"/>
            <w:tcMar>
              <w:top w:w="100" w:type="dxa"/>
              <w:left w:w="100" w:type="dxa"/>
              <w:bottom w:w="100" w:type="dxa"/>
              <w:right w:w="60" w:type="dxa"/>
            </w:tcMar>
            <w:vAlign w:val="bottom"/>
          </w:tcPr>
          <w:p w:rsidR="00E212EB" w:rsidRDefault="00C867E7">
            <w:pPr>
              <w:spacing w:before="240" w:line="256" w:lineRule="auto"/>
              <w:ind w:left="-40" w:right="-40"/>
              <w:rPr>
                <w:sz w:val="24"/>
                <w:szCs w:val="24"/>
              </w:rPr>
            </w:pPr>
            <w:r>
              <w:rPr>
                <w:sz w:val="24"/>
                <w:szCs w:val="24"/>
              </w:rPr>
              <w:t>Transporte de colesterol</w:t>
            </w:r>
          </w:p>
        </w:tc>
      </w:tr>
      <w:tr w:rsidR="00E212EB">
        <w:trPr>
          <w:trHeight w:val="470"/>
        </w:trPr>
        <w:tc>
          <w:tcPr>
            <w:tcW w:w="5160" w:type="dxa"/>
            <w:tcBorders>
              <w:top w:val="nil"/>
              <w:left w:val="nil"/>
              <w:bottom w:val="nil"/>
              <w:right w:val="single" w:sz="8" w:space="0" w:color="C04108"/>
            </w:tcBorders>
            <w:shd w:val="clear" w:color="auto" w:fill="F9ECE6"/>
            <w:tcMar>
              <w:top w:w="100" w:type="dxa"/>
              <w:left w:w="100" w:type="dxa"/>
              <w:bottom w:w="100" w:type="dxa"/>
              <w:right w:w="60" w:type="dxa"/>
            </w:tcMar>
          </w:tcPr>
          <w:p w:rsidR="00E212EB" w:rsidRDefault="00C867E7">
            <w:pPr>
              <w:spacing w:line="256" w:lineRule="auto"/>
              <w:ind w:left="-20" w:right="-40"/>
              <w:rPr>
                <w:sz w:val="24"/>
                <w:szCs w:val="24"/>
              </w:rPr>
            </w:pPr>
            <w:r>
              <w:rPr>
                <w:sz w:val="24"/>
                <w:szCs w:val="24"/>
              </w:rPr>
              <w:t>CYP 11 A</w:t>
            </w:r>
          </w:p>
        </w:tc>
        <w:tc>
          <w:tcPr>
            <w:tcW w:w="4710" w:type="dxa"/>
            <w:tcBorders>
              <w:top w:val="nil"/>
              <w:left w:val="nil"/>
              <w:bottom w:val="nil"/>
              <w:right w:val="nil"/>
            </w:tcBorders>
            <w:shd w:val="clear" w:color="auto" w:fill="F9ECE6"/>
            <w:tcMar>
              <w:top w:w="100" w:type="dxa"/>
              <w:left w:w="100" w:type="dxa"/>
              <w:bottom w:w="100" w:type="dxa"/>
              <w:right w:w="60" w:type="dxa"/>
            </w:tcMar>
          </w:tcPr>
          <w:p w:rsidR="00E212EB" w:rsidRDefault="00C867E7">
            <w:pPr>
              <w:spacing w:line="256" w:lineRule="auto"/>
              <w:ind w:left="-40" w:right="-40"/>
              <w:rPr>
                <w:sz w:val="24"/>
                <w:szCs w:val="24"/>
              </w:rPr>
            </w:pPr>
            <w:r>
              <w:rPr>
                <w:sz w:val="24"/>
                <w:szCs w:val="24"/>
              </w:rPr>
              <w:t>P.450 scc</w:t>
            </w:r>
          </w:p>
        </w:tc>
      </w:tr>
      <w:tr w:rsidR="00E212EB">
        <w:trPr>
          <w:trHeight w:val="470"/>
        </w:trPr>
        <w:tc>
          <w:tcPr>
            <w:tcW w:w="5160" w:type="dxa"/>
            <w:tcBorders>
              <w:top w:val="nil"/>
              <w:left w:val="nil"/>
              <w:bottom w:val="nil"/>
              <w:right w:val="single" w:sz="8" w:space="0" w:color="C04108"/>
            </w:tcBorders>
            <w:shd w:val="clear" w:color="auto" w:fill="F9ECE6"/>
            <w:tcMar>
              <w:top w:w="100" w:type="dxa"/>
              <w:left w:w="100" w:type="dxa"/>
              <w:bottom w:w="100" w:type="dxa"/>
              <w:right w:w="60" w:type="dxa"/>
            </w:tcMar>
          </w:tcPr>
          <w:p w:rsidR="00E212EB" w:rsidRDefault="00C867E7">
            <w:pPr>
              <w:spacing w:line="256" w:lineRule="auto"/>
              <w:ind w:left="-20" w:right="-40"/>
              <w:rPr>
                <w:sz w:val="24"/>
                <w:szCs w:val="24"/>
              </w:rPr>
            </w:pPr>
            <w:r>
              <w:rPr>
                <w:sz w:val="24"/>
                <w:szCs w:val="24"/>
              </w:rPr>
              <w:t>CYP17</w:t>
            </w:r>
          </w:p>
        </w:tc>
        <w:tc>
          <w:tcPr>
            <w:tcW w:w="4710" w:type="dxa"/>
            <w:tcBorders>
              <w:top w:val="nil"/>
              <w:left w:val="nil"/>
              <w:bottom w:val="nil"/>
              <w:right w:val="nil"/>
            </w:tcBorders>
            <w:shd w:val="clear" w:color="auto" w:fill="F9ECE6"/>
            <w:tcMar>
              <w:top w:w="100" w:type="dxa"/>
              <w:left w:w="100" w:type="dxa"/>
              <w:bottom w:w="100" w:type="dxa"/>
              <w:right w:w="60" w:type="dxa"/>
            </w:tcMar>
          </w:tcPr>
          <w:p w:rsidR="00E212EB" w:rsidRDefault="00C867E7">
            <w:pPr>
              <w:spacing w:line="256" w:lineRule="auto"/>
              <w:ind w:left="-40" w:right="-40"/>
              <w:rPr>
                <w:sz w:val="24"/>
                <w:szCs w:val="24"/>
              </w:rPr>
            </w:pPr>
            <w:r>
              <w:rPr>
                <w:sz w:val="24"/>
                <w:szCs w:val="24"/>
              </w:rPr>
              <w:t>P.450 C17</w:t>
            </w:r>
          </w:p>
        </w:tc>
      </w:tr>
      <w:tr w:rsidR="00E212EB">
        <w:trPr>
          <w:trHeight w:val="470"/>
        </w:trPr>
        <w:tc>
          <w:tcPr>
            <w:tcW w:w="5160" w:type="dxa"/>
            <w:tcBorders>
              <w:top w:val="nil"/>
              <w:left w:val="nil"/>
              <w:bottom w:val="nil"/>
              <w:right w:val="single" w:sz="8" w:space="0" w:color="C04108"/>
            </w:tcBorders>
            <w:shd w:val="clear" w:color="auto" w:fill="F9ECE6"/>
            <w:tcMar>
              <w:top w:w="100" w:type="dxa"/>
              <w:left w:w="100" w:type="dxa"/>
              <w:bottom w:w="100" w:type="dxa"/>
              <w:right w:w="60" w:type="dxa"/>
            </w:tcMar>
          </w:tcPr>
          <w:p w:rsidR="00E212EB" w:rsidRDefault="00C867E7">
            <w:pPr>
              <w:spacing w:line="256" w:lineRule="auto"/>
              <w:ind w:left="-20" w:right="-40"/>
              <w:rPr>
                <w:sz w:val="24"/>
                <w:szCs w:val="24"/>
              </w:rPr>
            </w:pPr>
            <w:r>
              <w:rPr>
                <w:sz w:val="24"/>
                <w:szCs w:val="24"/>
              </w:rPr>
              <w:t>CYP19</w:t>
            </w:r>
          </w:p>
        </w:tc>
        <w:tc>
          <w:tcPr>
            <w:tcW w:w="4710" w:type="dxa"/>
            <w:tcBorders>
              <w:top w:val="nil"/>
              <w:left w:val="nil"/>
              <w:bottom w:val="nil"/>
              <w:right w:val="nil"/>
            </w:tcBorders>
            <w:shd w:val="clear" w:color="auto" w:fill="F9ECE6"/>
            <w:tcMar>
              <w:top w:w="100" w:type="dxa"/>
              <w:left w:w="100" w:type="dxa"/>
              <w:bottom w:w="100" w:type="dxa"/>
              <w:right w:w="60" w:type="dxa"/>
            </w:tcMar>
          </w:tcPr>
          <w:p w:rsidR="00E212EB" w:rsidRDefault="00C867E7">
            <w:pPr>
              <w:spacing w:line="256" w:lineRule="auto"/>
              <w:ind w:left="-40" w:right="-40"/>
              <w:rPr>
                <w:sz w:val="24"/>
                <w:szCs w:val="24"/>
              </w:rPr>
            </w:pPr>
            <w:r>
              <w:rPr>
                <w:sz w:val="24"/>
                <w:szCs w:val="24"/>
              </w:rPr>
              <w:t>Aromatasa</w:t>
            </w:r>
          </w:p>
        </w:tc>
      </w:tr>
      <w:tr w:rsidR="00E212EB">
        <w:trPr>
          <w:trHeight w:val="470"/>
        </w:trPr>
        <w:tc>
          <w:tcPr>
            <w:tcW w:w="5160" w:type="dxa"/>
            <w:tcBorders>
              <w:top w:val="nil"/>
              <w:left w:val="nil"/>
              <w:bottom w:val="single" w:sz="8" w:space="0" w:color="C04108"/>
              <w:right w:val="single" w:sz="8" w:space="0" w:color="C04108"/>
            </w:tcBorders>
            <w:shd w:val="clear" w:color="auto" w:fill="F9ECE6"/>
            <w:tcMar>
              <w:top w:w="100" w:type="dxa"/>
              <w:left w:w="100" w:type="dxa"/>
              <w:bottom w:w="100" w:type="dxa"/>
              <w:right w:w="60" w:type="dxa"/>
            </w:tcMar>
          </w:tcPr>
          <w:p w:rsidR="00E212EB" w:rsidRDefault="00C867E7">
            <w:pPr>
              <w:spacing w:line="256" w:lineRule="auto"/>
              <w:ind w:left="-20" w:right="-40"/>
              <w:rPr>
                <w:sz w:val="24"/>
                <w:szCs w:val="24"/>
              </w:rPr>
            </w:pPr>
            <w:r>
              <w:rPr>
                <w:sz w:val="24"/>
                <w:szCs w:val="24"/>
              </w:rPr>
              <w:t>SDR 5A</w:t>
            </w:r>
          </w:p>
        </w:tc>
        <w:tc>
          <w:tcPr>
            <w:tcW w:w="4710" w:type="dxa"/>
            <w:tcBorders>
              <w:top w:val="nil"/>
              <w:left w:val="nil"/>
              <w:bottom w:val="single" w:sz="8" w:space="0" w:color="C04108"/>
              <w:right w:val="nil"/>
            </w:tcBorders>
            <w:shd w:val="clear" w:color="auto" w:fill="F9ECE6"/>
            <w:tcMar>
              <w:top w:w="100" w:type="dxa"/>
              <w:left w:w="100" w:type="dxa"/>
              <w:bottom w:w="100" w:type="dxa"/>
              <w:right w:w="60" w:type="dxa"/>
            </w:tcMar>
          </w:tcPr>
          <w:p w:rsidR="00E212EB" w:rsidRDefault="00C867E7">
            <w:pPr>
              <w:spacing w:line="256" w:lineRule="auto"/>
              <w:ind w:left="-40" w:right="-40"/>
              <w:rPr>
                <w:sz w:val="24"/>
                <w:szCs w:val="24"/>
              </w:rPr>
            </w:pPr>
            <w:r>
              <w:rPr>
                <w:sz w:val="24"/>
                <w:szCs w:val="24"/>
              </w:rPr>
              <w:t>α-reductasa</w:t>
            </w:r>
          </w:p>
        </w:tc>
      </w:tr>
      <w:tr w:rsidR="00E212EB">
        <w:trPr>
          <w:trHeight w:val="1175"/>
        </w:trPr>
        <w:tc>
          <w:tcPr>
            <w:tcW w:w="5160" w:type="dxa"/>
            <w:tcBorders>
              <w:top w:val="nil"/>
              <w:left w:val="nil"/>
              <w:bottom w:val="nil"/>
              <w:right w:val="single" w:sz="8" w:space="0" w:color="C04108"/>
            </w:tcBorders>
            <w:shd w:val="clear" w:color="auto" w:fill="F9ECE6"/>
            <w:tcMar>
              <w:top w:w="100" w:type="dxa"/>
              <w:left w:w="100" w:type="dxa"/>
              <w:bottom w:w="100" w:type="dxa"/>
              <w:right w:w="60" w:type="dxa"/>
            </w:tcMar>
          </w:tcPr>
          <w:p w:rsidR="00E212EB" w:rsidRDefault="00C867E7">
            <w:pPr>
              <w:spacing w:after="60" w:line="235" w:lineRule="auto"/>
              <w:ind w:left="-20" w:right="460"/>
              <w:rPr>
                <w:b/>
                <w:sz w:val="24"/>
                <w:szCs w:val="24"/>
              </w:rPr>
            </w:pPr>
            <w:r>
              <w:rPr>
                <w:b/>
                <w:sz w:val="24"/>
                <w:szCs w:val="24"/>
              </w:rPr>
              <w:t>Mutaciones de genes en los esteroides suprarrenales</w:t>
            </w:r>
          </w:p>
          <w:p w:rsidR="00E212EB" w:rsidRDefault="00C867E7">
            <w:pPr>
              <w:spacing w:line="256" w:lineRule="auto"/>
              <w:ind w:left="-20" w:right="-40"/>
              <w:rPr>
                <w:sz w:val="24"/>
                <w:szCs w:val="24"/>
              </w:rPr>
            </w:pPr>
            <w:r>
              <w:rPr>
                <w:sz w:val="24"/>
                <w:szCs w:val="24"/>
              </w:rPr>
              <w:t>CYP 21</w:t>
            </w:r>
          </w:p>
        </w:tc>
        <w:tc>
          <w:tcPr>
            <w:tcW w:w="4710" w:type="dxa"/>
            <w:tcBorders>
              <w:top w:val="nil"/>
              <w:left w:val="nil"/>
              <w:bottom w:val="nil"/>
              <w:right w:val="nil"/>
            </w:tcBorders>
            <w:shd w:val="clear" w:color="auto" w:fill="F9ECE6"/>
            <w:tcMar>
              <w:top w:w="100" w:type="dxa"/>
              <w:left w:w="100" w:type="dxa"/>
              <w:bottom w:w="100" w:type="dxa"/>
              <w:right w:w="60" w:type="dxa"/>
            </w:tcMar>
            <w:vAlign w:val="bottom"/>
          </w:tcPr>
          <w:p w:rsidR="00E212EB" w:rsidRDefault="00C867E7">
            <w:pPr>
              <w:spacing w:line="256" w:lineRule="auto"/>
              <w:ind w:left="-40" w:right="-40"/>
              <w:rPr>
                <w:sz w:val="24"/>
                <w:szCs w:val="24"/>
              </w:rPr>
            </w:pPr>
            <w:r>
              <w:rPr>
                <w:sz w:val="24"/>
                <w:szCs w:val="24"/>
              </w:rPr>
              <w:t>P.450 C21</w:t>
            </w:r>
          </w:p>
        </w:tc>
      </w:tr>
      <w:tr w:rsidR="00E212EB">
        <w:trPr>
          <w:trHeight w:val="500"/>
        </w:trPr>
        <w:tc>
          <w:tcPr>
            <w:tcW w:w="5160" w:type="dxa"/>
            <w:tcBorders>
              <w:top w:val="nil"/>
              <w:left w:val="nil"/>
              <w:bottom w:val="single" w:sz="8" w:space="0" w:color="C04108"/>
              <w:right w:val="single" w:sz="8" w:space="0" w:color="C04108"/>
            </w:tcBorders>
            <w:shd w:val="clear" w:color="auto" w:fill="F9ECE6"/>
            <w:tcMar>
              <w:top w:w="100" w:type="dxa"/>
              <w:left w:w="100" w:type="dxa"/>
              <w:bottom w:w="100" w:type="dxa"/>
              <w:right w:w="60" w:type="dxa"/>
            </w:tcMar>
          </w:tcPr>
          <w:p w:rsidR="00E212EB" w:rsidRDefault="00C867E7">
            <w:pPr>
              <w:spacing w:line="256" w:lineRule="auto"/>
              <w:ind w:left="-20" w:right="-40"/>
              <w:rPr>
                <w:sz w:val="24"/>
                <w:szCs w:val="24"/>
              </w:rPr>
            </w:pPr>
            <w:r>
              <w:rPr>
                <w:sz w:val="24"/>
                <w:szCs w:val="24"/>
              </w:rPr>
              <w:t>CYP 11 B1</w:t>
            </w:r>
          </w:p>
        </w:tc>
        <w:tc>
          <w:tcPr>
            <w:tcW w:w="4710" w:type="dxa"/>
            <w:tcBorders>
              <w:top w:val="nil"/>
              <w:left w:val="nil"/>
              <w:bottom w:val="single" w:sz="8" w:space="0" w:color="C04108"/>
              <w:right w:val="nil"/>
            </w:tcBorders>
            <w:shd w:val="clear" w:color="auto" w:fill="F9ECE6"/>
            <w:tcMar>
              <w:top w:w="100" w:type="dxa"/>
              <w:left w:w="100" w:type="dxa"/>
              <w:bottom w:w="100" w:type="dxa"/>
              <w:right w:w="60" w:type="dxa"/>
            </w:tcMar>
          </w:tcPr>
          <w:p w:rsidR="00E212EB" w:rsidRDefault="00C867E7">
            <w:pPr>
              <w:spacing w:line="256" w:lineRule="auto"/>
              <w:ind w:left="-40" w:right="-40"/>
              <w:rPr>
                <w:sz w:val="24"/>
                <w:szCs w:val="24"/>
              </w:rPr>
            </w:pPr>
            <w:r>
              <w:rPr>
                <w:sz w:val="24"/>
                <w:szCs w:val="24"/>
              </w:rPr>
              <w:t>P.450 C11</w:t>
            </w:r>
          </w:p>
        </w:tc>
      </w:tr>
      <w:tr w:rsidR="00E212EB">
        <w:trPr>
          <w:trHeight w:val="1145"/>
        </w:trPr>
        <w:tc>
          <w:tcPr>
            <w:tcW w:w="5160" w:type="dxa"/>
            <w:tcBorders>
              <w:top w:val="nil"/>
              <w:left w:val="nil"/>
              <w:bottom w:val="nil"/>
              <w:right w:val="single" w:sz="8" w:space="0" w:color="C04108"/>
            </w:tcBorders>
            <w:shd w:val="clear" w:color="auto" w:fill="F9ECE6"/>
            <w:tcMar>
              <w:top w:w="100" w:type="dxa"/>
              <w:left w:w="100" w:type="dxa"/>
              <w:bottom w:w="100" w:type="dxa"/>
              <w:right w:w="60" w:type="dxa"/>
            </w:tcMar>
          </w:tcPr>
          <w:p w:rsidR="00E212EB" w:rsidRDefault="00C867E7">
            <w:pPr>
              <w:spacing w:after="60" w:line="235" w:lineRule="auto"/>
              <w:ind w:left="-20" w:right="-40"/>
              <w:rPr>
                <w:b/>
                <w:sz w:val="24"/>
                <w:szCs w:val="24"/>
              </w:rPr>
            </w:pPr>
            <w:r>
              <w:rPr>
                <w:b/>
                <w:sz w:val="24"/>
                <w:szCs w:val="24"/>
              </w:rPr>
              <w:t>Mutaciones en los receptores hormonales nucleares</w:t>
            </w:r>
          </w:p>
          <w:p w:rsidR="00E212EB" w:rsidRDefault="00C867E7">
            <w:pPr>
              <w:spacing w:line="256" w:lineRule="auto"/>
              <w:ind w:left="-20" w:right="-40"/>
              <w:rPr>
                <w:sz w:val="24"/>
                <w:szCs w:val="24"/>
              </w:rPr>
            </w:pPr>
            <w:r>
              <w:rPr>
                <w:sz w:val="24"/>
                <w:szCs w:val="24"/>
              </w:rPr>
              <w:t>SF-1</w:t>
            </w:r>
          </w:p>
        </w:tc>
        <w:tc>
          <w:tcPr>
            <w:tcW w:w="4710" w:type="dxa"/>
            <w:tcBorders>
              <w:top w:val="nil"/>
              <w:left w:val="nil"/>
              <w:bottom w:val="nil"/>
              <w:right w:val="nil"/>
            </w:tcBorders>
            <w:shd w:val="clear" w:color="auto" w:fill="F9ECE6"/>
            <w:tcMar>
              <w:top w:w="100" w:type="dxa"/>
              <w:left w:w="100" w:type="dxa"/>
              <w:bottom w:w="100" w:type="dxa"/>
              <w:right w:w="60" w:type="dxa"/>
            </w:tcMar>
            <w:vAlign w:val="bottom"/>
          </w:tcPr>
          <w:p w:rsidR="00E212EB" w:rsidRDefault="00C867E7">
            <w:pPr>
              <w:spacing w:line="256" w:lineRule="auto"/>
              <w:ind w:left="-40" w:right="-40"/>
              <w:rPr>
                <w:sz w:val="24"/>
                <w:szCs w:val="24"/>
              </w:rPr>
            </w:pPr>
            <w:r>
              <w:rPr>
                <w:sz w:val="24"/>
                <w:szCs w:val="24"/>
              </w:rPr>
              <w:t>Desarrollo y diferenciación</w:t>
            </w:r>
          </w:p>
        </w:tc>
      </w:tr>
      <w:tr w:rsidR="00E212EB">
        <w:trPr>
          <w:trHeight w:val="1265"/>
        </w:trPr>
        <w:tc>
          <w:tcPr>
            <w:tcW w:w="5160" w:type="dxa"/>
            <w:tcBorders>
              <w:top w:val="nil"/>
              <w:left w:val="nil"/>
              <w:bottom w:val="single" w:sz="8" w:space="0" w:color="C04108"/>
              <w:right w:val="single" w:sz="8" w:space="0" w:color="C04108"/>
            </w:tcBorders>
            <w:shd w:val="clear" w:color="auto" w:fill="F9ECE6"/>
            <w:tcMar>
              <w:top w:w="100" w:type="dxa"/>
              <w:left w:w="100" w:type="dxa"/>
              <w:bottom w:w="100" w:type="dxa"/>
              <w:right w:w="60" w:type="dxa"/>
            </w:tcMar>
          </w:tcPr>
          <w:p w:rsidR="00E212EB" w:rsidRDefault="00C867E7">
            <w:pPr>
              <w:spacing w:line="256" w:lineRule="auto"/>
              <w:ind w:left="-20" w:right="-40"/>
              <w:rPr>
                <w:sz w:val="24"/>
                <w:szCs w:val="24"/>
              </w:rPr>
            </w:pPr>
            <w:r>
              <w:rPr>
                <w:sz w:val="24"/>
                <w:szCs w:val="24"/>
              </w:rPr>
              <w:t>DAX-1</w:t>
            </w:r>
          </w:p>
        </w:tc>
        <w:tc>
          <w:tcPr>
            <w:tcW w:w="4710" w:type="dxa"/>
            <w:tcBorders>
              <w:top w:val="nil"/>
              <w:left w:val="nil"/>
              <w:bottom w:val="single" w:sz="8" w:space="0" w:color="C04108"/>
              <w:right w:val="nil"/>
            </w:tcBorders>
            <w:shd w:val="clear" w:color="auto" w:fill="F9ECE6"/>
            <w:tcMar>
              <w:top w:w="100" w:type="dxa"/>
              <w:left w:w="100" w:type="dxa"/>
              <w:bottom w:w="100" w:type="dxa"/>
              <w:right w:w="60" w:type="dxa"/>
            </w:tcMar>
          </w:tcPr>
          <w:p w:rsidR="00E212EB" w:rsidRDefault="00C867E7">
            <w:pPr>
              <w:spacing w:line="256" w:lineRule="auto"/>
              <w:ind w:left="-40" w:right="200"/>
              <w:rPr>
                <w:sz w:val="24"/>
                <w:szCs w:val="24"/>
              </w:rPr>
            </w:pPr>
            <w:r>
              <w:rPr>
                <w:sz w:val="24"/>
                <w:szCs w:val="24"/>
              </w:rPr>
              <w:t>del aparato reproductor Hipoplasia suprarrenal congénita e hipogonadismo hipogonadotrópico</w:t>
            </w:r>
          </w:p>
        </w:tc>
      </w:tr>
      <w:tr w:rsidR="00E212EB">
        <w:trPr>
          <w:trHeight w:val="720"/>
        </w:trPr>
        <w:tc>
          <w:tcPr>
            <w:tcW w:w="5160" w:type="dxa"/>
            <w:tcBorders>
              <w:top w:val="nil"/>
              <w:left w:val="nil"/>
              <w:bottom w:val="single" w:sz="18" w:space="0" w:color="C04108"/>
              <w:right w:val="single" w:sz="8" w:space="0" w:color="C04108"/>
            </w:tcBorders>
            <w:shd w:val="clear" w:color="auto" w:fill="F9ECE6"/>
            <w:tcMar>
              <w:top w:w="100" w:type="dxa"/>
              <w:left w:w="100" w:type="dxa"/>
              <w:bottom w:w="100" w:type="dxa"/>
              <w:right w:w="60" w:type="dxa"/>
            </w:tcMar>
          </w:tcPr>
          <w:p w:rsidR="00E212EB" w:rsidRDefault="00C867E7">
            <w:pPr>
              <w:spacing w:line="256" w:lineRule="auto"/>
              <w:ind w:left="-20" w:right="60"/>
              <w:rPr>
                <w:b/>
                <w:sz w:val="24"/>
                <w:szCs w:val="24"/>
              </w:rPr>
            </w:pPr>
            <w:r>
              <w:rPr>
                <w:b/>
                <w:sz w:val="24"/>
                <w:szCs w:val="24"/>
              </w:rPr>
              <w:t>Receptor de estrógenos Receptor de andrógenos</w:t>
            </w:r>
          </w:p>
        </w:tc>
        <w:tc>
          <w:tcPr>
            <w:tcW w:w="4710" w:type="dxa"/>
            <w:tcBorders>
              <w:top w:val="nil"/>
              <w:left w:val="nil"/>
              <w:bottom w:val="single" w:sz="18" w:space="0" w:color="C04108"/>
              <w:right w:val="nil"/>
            </w:tcBorders>
            <w:shd w:val="clear" w:color="auto" w:fill="F9ECE6"/>
            <w:tcMar>
              <w:top w:w="100" w:type="dxa"/>
              <w:left w:w="100" w:type="dxa"/>
              <w:bottom w:w="100" w:type="dxa"/>
              <w:right w:w="60" w:type="dxa"/>
            </w:tcMar>
          </w:tcPr>
          <w:p w:rsidR="00E212EB" w:rsidRDefault="00C867E7">
            <w:pPr>
              <w:spacing w:before="240" w:after="160" w:line="256" w:lineRule="auto"/>
              <w:ind w:left="-40" w:right="-40"/>
              <w:rPr>
                <w:sz w:val="24"/>
                <w:szCs w:val="24"/>
              </w:rPr>
            </w:pPr>
            <w:r>
              <w:rPr>
                <w:sz w:val="24"/>
                <w:szCs w:val="24"/>
              </w:rPr>
              <w:t xml:space="preserve"> </w:t>
            </w:r>
          </w:p>
        </w:tc>
      </w:tr>
    </w:tbl>
    <w:p w:rsidR="00E212EB" w:rsidRDefault="00E212EB">
      <w:pPr>
        <w:rPr>
          <w:sz w:val="24"/>
          <w:szCs w:val="24"/>
        </w:rPr>
      </w:pPr>
    </w:p>
    <w:p w:rsidR="00E212EB" w:rsidRDefault="00E212EB">
      <w:pPr>
        <w:rPr>
          <w:sz w:val="24"/>
          <w:szCs w:val="24"/>
        </w:rPr>
      </w:pPr>
    </w:p>
    <w:p w:rsidR="00E212EB" w:rsidRDefault="00C867E7">
      <w:pPr>
        <w:numPr>
          <w:ilvl w:val="0"/>
          <w:numId w:val="12"/>
        </w:numPr>
        <w:jc w:val="both"/>
        <w:rPr>
          <w:sz w:val="24"/>
          <w:szCs w:val="24"/>
        </w:rPr>
      </w:pPr>
      <w:r>
        <w:rPr>
          <w:b/>
          <w:sz w:val="24"/>
          <w:szCs w:val="24"/>
          <w:u w:val="single"/>
        </w:rPr>
        <w:t>Trastornos cromosómicos</w:t>
      </w:r>
    </w:p>
    <w:p w:rsidR="00E212EB" w:rsidRDefault="00E212EB">
      <w:pPr>
        <w:ind w:left="720"/>
        <w:jc w:val="both"/>
        <w:rPr>
          <w:b/>
          <w:sz w:val="24"/>
          <w:szCs w:val="24"/>
          <w:u w:val="single"/>
        </w:rPr>
      </w:pPr>
    </w:p>
    <w:p w:rsidR="00E212EB" w:rsidRDefault="00C867E7">
      <w:pPr>
        <w:numPr>
          <w:ilvl w:val="1"/>
          <w:numId w:val="12"/>
        </w:numPr>
        <w:jc w:val="both"/>
        <w:rPr>
          <w:sz w:val="24"/>
          <w:szCs w:val="24"/>
        </w:rPr>
      </w:pPr>
      <w:r>
        <w:rPr>
          <w:b/>
          <w:sz w:val="24"/>
          <w:szCs w:val="24"/>
        </w:rPr>
        <w:t xml:space="preserve">Aneuploidía constitucional </w:t>
      </w:r>
      <w:r>
        <w:rPr>
          <w:sz w:val="24"/>
          <w:szCs w:val="24"/>
        </w:rPr>
        <w:t xml:space="preserve"> (</w:t>
      </w:r>
      <w:r>
        <w:rPr>
          <w:i/>
          <w:sz w:val="24"/>
          <w:szCs w:val="24"/>
        </w:rPr>
        <w:t>Mujeres 47,XXX )</w:t>
      </w:r>
    </w:p>
    <w:p w:rsidR="00E212EB" w:rsidRDefault="00C867E7">
      <w:pPr>
        <w:ind w:left="1440"/>
        <w:jc w:val="both"/>
        <w:rPr>
          <w:sz w:val="24"/>
          <w:szCs w:val="24"/>
        </w:rPr>
      </w:pPr>
      <w:r>
        <w:rPr>
          <w:sz w:val="24"/>
          <w:szCs w:val="24"/>
        </w:rPr>
        <w:t xml:space="preserve">Ocurriendo en 1 de cada 1000 mujeres, en el 95% de los casos el cromosoma X adicional es de origen materno y está </w:t>
      </w:r>
      <w:r>
        <w:rPr>
          <w:b/>
          <w:sz w:val="24"/>
          <w:szCs w:val="24"/>
        </w:rPr>
        <w:t>asociado con una mayor edad materna</w:t>
      </w:r>
      <w:r>
        <w:rPr>
          <w:sz w:val="24"/>
          <w:szCs w:val="24"/>
        </w:rPr>
        <w:t>. Las mujeres 47,XXX tienen un peso, altura y función mental normales, tienen un desarrollo prepuberal norm</w:t>
      </w:r>
      <w:r>
        <w:rPr>
          <w:sz w:val="24"/>
          <w:szCs w:val="24"/>
        </w:rPr>
        <w:t>al y son fértiles, pero tienen un inicio temprano de la menopausia alrededor de los 30 años en comparación con el promedio de alrededor de los 50 años de edad. La clínica que presenta esta patología está relacionada con el aumento de la dosificación genéti</w:t>
      </w:r>
      <w:r>
        <w:rPr>
          <w:sz w:val="24"/>
          <w:szCs w:val="24"/>
        </w:rPr>
        <w:t>ca que escapa a la inactivación de X. La gravedad de los síntomas aumenta en proporción al número de cromosomas X adicionales.</w:t>
      </w:r>
    </w:p>
    <w:p w:rsidR="00E212EB" w:rsidRDefault="00E212EB">
      <w:pPr>
        <w:ind w:left="720"/>
        <w:jc w:val="both"/>
        <w:rPr>
          <w:sz w:val="24"/>
          <w:szCs w:val="24"/>
        </w:rPr>
      </w:pPr>
    </w:p>
    <w:p w:rsidR="00E212EB" w:rsidRDefault="00C867E7">
      <w:pPr>
        <w:numPr>
          <w:ilvl w:val="0"/>
          <w:numId w:val="3"/>
        </w:numPr>
        <w:jc w:val="both"/>
        <w:rPr>
          <w:b/>
          <w:sz w:val="24"/>
          <w:szCs w:val="24"/>
        </w:rPr>
      </w:pPr>
      <w:r>
        <w:rPr>
          <w:b/>
          <w:sz w:val="24"/>
          <w:szCs w:val="24"/>
        </w:rPr>
        <w:t xml:space="preserve">Aneuploidía en los gametos </w:t>
      </w:r>
    </w:p>
    <w:p w:rsidR="00E212EB" w:rsidRDefault="00C867E7">
      <w:pPr>
        <w:ind w:left="1440"/>
        <w:jc w:val="both"/>
        <w:rPr>
          <w:sz w:val="24"/>
          <w:szCs w:val="24"/>
        </w:rPr>
      </w:pPr>
      <w:r>
        <w:rPr>
          <w:i/>
          <w:sz w:val="24"/>
          <w:szCs w:val="24"/>
        </w:rPr>
        <w:t>Efecto de la edad materna para la aneuploidía</w:t>
      </w:r>
      <w:r>
        <w:rPr>
          <w:sz w:val="24"/>
          <w:szCs w:val="24"/>
        </w:rPr>
        <w:t xml:space="preserve"> La relación más común entre la genética y la reducción</w:t>
      </w:r>
      <w:r>
        <w:rPr>
          <w:sz w:val="24"/>
          <w:szCs w:val="24"/>
        </w:rPr>
        <w:t xml:space="preserve"> de la fecundidad en las mujeres es el efecto de la edad materna. </w:t>
      </w:r>
      <w:r>
        <w:rPr>
          <w:b/>
          <w:sz w:val="24"/>
          <w:szCs w:val="24"/>
        </w:rPr>
        <w:t>El entorno ovárico se ve comprometido a medida que la mujer envejece y los óvulos dentro de él se vuelven cada vez menos capaces de disociar los cromosomas normalmente</w:t>
      </w:r>
      <w:r>
        <w:rPr>
          <w:sz w:val="24"/>
          <w:szCs w:val="24"/>
        </w:rPr>
        <w:t xml:space="preserve">. Se ha implicado que </w:t>
      </w:r>
      <w:r>
        <w:rPr>
          <w:b/>
          <w:sz w:val="24"/>
          <w:szCs w:val="24"/>
        </w:rPr>
        <w:t>l</w:t>
      </w:r>
      <w:r>
        <w:rPr>
          <w:b/>
          <w:sz w:val="24"/>
          <w:szCs w:val="24"/>
        </w:rPr>
        <w:t>os cambios en</w:t>
      </w:r>
      <w:r>
        <w:rPr>
          <w:sz w:val="24"/>
          <w:szCs w:val="24"/>
        </w:rPr>
        <w:t>, por ejemplo,</w:t>
      </w:r>
      <w:r>
        <w:rPr>
          <w:b/>
          <w:sz w:val="24"/>
          <w:szCs w:val="24"/>
        </w:rPr>
        <w:t xml:space="preserve"> la concentración de oxígeno, el pH o las concentraciones de hormonas (todos asociados con el envejecimiento) afectan posteriormente la segregación cromosómica en las meiosis posteriores</w:t>
      </w:r>
      <w:r>
        <w:rPr>
          <w:sz w:val="24"/>
          <w:szCs w:val="24"/>
        </w:rPr>
        <w:t xml:space="preserve">. </w:t>
      </w:r>
    </w:p>
    <w:p w:rsidR="00E212EB" w:rsidRDefault="00E212EB">
      <w:pPr>
        <w:ind w:left="720"/>
        <w:jc w:val="both"/>
        <w:rPr>
          <w:sz w:val="24"/>
          <w:szCs w:val="24"/>
        </w:rPr>
      </w:pPr>
    </w:p>
    <w:p w:rsidR="00E212EB" w:rsidRDefault="00C867E7">
      <w:pPr>
        <w:numPr>
          <w:ilvl w:val="1"/>
          <w:numId w:val="12"/>
        </w:numPr>
        <w:jc w:val="both"/>
        <w:rPr>
          <w:sz w:val="24"/>
          <w:szCs w:val="24"/>
        </w:rPr>
      </w:pPr>
      <w:r>
        <w:rPr>
          <w:sz w:val="24"/>
          <w:szCs w:val="24"/>
        </w:rPr>
        <w:t xml:space="preserve">En el </w:t>
      </w:r>
      <w:r>
        <w:rPr>
          <w:b/>
          <w:sz w:val="24"/>
          <w:szCs w:val="24"/>
        </w:rPr>
        <w:t>síndrome de Turner</w:t>
      </w:r>
      <w:r>
        <w:rPr>
          <w:sz w:val="24"/>
          <w:szCs w:val="24"/>
        </w:rPr>
        <w:t xml:space="preserve"> están implicadas anomalías de los cromosomas sexuales. Dicho síndrome corresponde a varias anomalías de cromosomas X que van desde la deleción de uno de ellos (45X) a deleciones parciales asociadas con irregularidades en el ciclo menstrual y durante el em</w:t>
      </w:r>
      <w:r>
        <w:rPr>
          <w:sz w:val="24"/>
          <w:szCs w:val="24"/>
        </w:rPr>
        <w:t>barazo. La incidencia de diferentes tipos de variaciones del cromosoma X es estimada en ~1: 2.000 niños nacidos vivos.</w:t>
      </w:r>
    </w:p>
    <w:p w:rsidR="00E212EB" w:rsidRDefault="00E212EB">
      <w:pPr>
        <w:ind w:left="1440"/>
        <w:jc w:val="both"/>
        <w:rPr>
          <w:sz w:val="24"/>
          <w:szCs w:val="24"/>
        </w:rPr>
      </w:pPr>
    </w:p>
    <w:p w:rsidR="00E212EB" w:rsidRDefault="00C867E7">
      <w:pPr>
        <w:numPr>
          <w:ilvl w:val="1"/>
          <w:numId w:val="12"/>
        </w:numPr>
        <w:jc w:val="both"/>
        <w:rPr>
          <w:sz w:val="24"/>
          <w:szCs w:val="24"/>
        </w:rPr>
      </w:pPr>
      <w:r>
        <w:rPr>
          <w:b/>
          <w:sz w:val="24"/>
          <w:szCs w:val="24"/>
        </w:rPr>
        <w:t>Deleción del brazo corto</w:t>
      </w:r>
      <w:r>
        <w:rPr>
          <w:sz w:val="24"/>
          <w:szCs w:val="24"/>
        </w:rPr>
        <w:t xml:space="preserve"> del cromosoma X que produce el síndrome de Turner típico y la </w:t>
      </w:r>
      <w:r>
        <w:rPr>
          <w:b/>
          <w:sz w:val="24"/>
          <w:szCs w:val="24"/>
        </w:rPr>
        <w:t>deleción del brazo largo</w:t>
      </w:r>
      <w:r>
        <w:rPr>
          <w:sz w:val="24"/>
          <w:szCs w:val="24"/>
        </w:rPr>
        <w:t xml:space="preserve"> que causa una amenorrea primaria sin todos los estigmas del síndrome de Turner.  Las deleciones parciales del brazo largo del cromosoma X originan diferentes manifestaciones clínicas, dependiendo de la región cromosómica involucrada. </w:t>
      </w:r>
    </w:p>
    <w:p w:rsidR="00E212EB" w:rsidRDefault="00C867E7">
      <w:pPr>
        <w:numPr>
          <w:ilvl w:val="1"/>
          <w:numId w:val="12"/>
        </w:numPr>
        <w:jc w:val="both"/>
        <w:rPr>
          <w:sz w:val="24"/>
          <w:szCs w:val="24"/>
        </w:rPr>
      </w:pPr>
      <w:r>
        <w:rPr>
          <w:sz w:val="24"/>
          <w:szCs w:val="24"/>
        </w:rPr>
        <w:t xml:space="preserve">La deleción del </w:t>
      </w:r>
      <w:r>
        <w:rPr>
          <w:b/>
          <w:sz w:val="24"/>
          <w:szCs w:val="24"/>
        </w:rPr>
        <w:t xml:space="preserve">gen </w:t>
      </w:r>
      <w:r>
        <w:rPr>
          <w:b/>
          <w:sz w:val="24"/>
          <w:szCs w:val="24"/>
        </w:rPr>
        <w:t xml:space="preserve">ZFX </w:t>
      </w:r>
      <w:r>
        <w:rPr>
          <w:sz w:val="24"/>
          <w:szCs w:val="24"/>
        </w:rPr>
        <w:t xml:space="preserve">está asociada con un acortamiento de la vida reproductiva, simulando una insuficiencia ovárica temprana. </w:t>
      </w:r>
    </w:p>
    <w:p w:rsidR="00E212EB" w:rsidRDefault="00E212EB">
      <w:pPr>
        <w:ind w:left="1440"/>
        <w:jc w:val="both"/>
        <w:rPr>
          <w:sz w:val="24"/>
          <w:szCs w:val="24"/>
        </w:rPr>
      </w:pPr>
    </w:p>
    <w:p w:rsidR="00E212EB" w:rsidRDefault="00C867E7">
      <w:pPr>
        <w:numPr>
          <w:ilvl w:val="1"/>
          <w:numId w:val="12"/>
        </w:numPr>
        <w:jc w:val="both"/>
        <w:rPr>
          <w:sz w:val="24"/>
          <w:szCs w:val="24"/>
        </w:rPr>
      </w:pPr>
      <w:r>
        <w:rPr>
          <w:sz w:val="24"/>
          <w:szCs w:val="24"/>
        </w:rPr>
        <w:t xml:space="preserve">El </w:t>
      </w:r>
      <w:r>
        <w:rPr>
          <w:b/>
          <w:sz w:val="24"/>
          <w:szCs w:val="24"/>
        </w:rPr>
        <w:t>síndrome del X frágil, FMR1</w:t>
      </w:r>
      <w:r>
        <w:rPr>
          <w:sz w:val="24"/>
          <w:szCs w:val="24"/>
        </w:rPr>
        <w:t xml:space="preserve"> está relacionado con retardo mental en los hombres, y la presencia de </w:t>
      </w:r>
      <w:r>
        <w:rPr>
          <w:b/>
          <w:sz w:val="24"/>
          <w:szCs w:val="24"/>
        </w:rPr>
        <w:t xml:space="preserve">FRAXA </w:t>
      </w:r>
      <w:r>
        <w:rPr>
          <w:sz w:val="24"/>
          <w:szCs w:val="24"/>
        </w:rPr>
        <w:t>(repetición del trinucleótido CGG) est</w:t>
      </w:r>
      <w:r>
        <w:rPr>
          <w:sz w:val="24"/>
          <w:szCs w:val="24"/>
        </w:rPr>
        <w:t xml:space="preserve">á asociada con insuficiencia ovárica prematura en las mujeres. </w:t>
      </w:r>
    </w:p>
    <w:p w:rsidR="00E212EB" w:rsidRDefault="00E212EB">
      <w:pPr>
        <w:ind w:left="1440"/>
        <w:jc w:val="both"/>
        <w:rPr>
          <w:sz w:val="24"/>
          <w:szCs w:val="24"/>
        </w:rPr>
      </w:pPr>
    </w:p>
    <w:p w:rsidR="00E212EB" w:rsidRDefault="00C867E7">
      <w:pPr>
        <w:numPr>
          <w:ilvl w:val="1"/>
          <w:numId w:val="12"/>
        </w:numPr>
        <w:jc w:val="both"/>
        <w:rPr>
          <w:sz w:val="24"/>
          <w:szCs w:val="24"/>
        </w:rPr>
      </w:pPr>
      <w:r>
        <w:rPr>
          <w:sz w:val="24"/>
          <w:szCs w:val="24"/>
        </w:rPr>
        <w:t xml:space="preserve">En el </w:t>
      </w:r>
      <w:r>
        <w:rPr>
          <w:b/>
          <w:sz w:val="24"/>
          <w:szCs w:val="24"/>
        </w:rPr>
        <w:t>gen GnRH,</w:t>
      </w:r>
      <w:r>
        <w:rPr>
          <w:sz w:val="24"/>
          <w:szCs w:val="24"/>
        </w:rPr>
        <w:t xml:space="preserve"> el gen Kal es responsable de la migración de neuronas de la placoda olfatoria del cerebro y las modificaciones genéticas provocan defectos en el desarrollo del bulbo olfatorio</w:t>
      </w:r>
      <w:r>
        <w:rPr>
          <w:sz w:val="24"/>
          <w:szCs w:val="24"/>
        </w:rPr>
        <w:t xml:space="preserve"> (Hardelin, 1993). Este es el origen del denominado síndrome de Kallman, que incluye mutaciones del receptor para GnRH en el 7% de las pacientes infértiles, mutaciones de los genes que codifican las gonadotropinas y sus receptores. </w:t>
      </w:r>
    </w:p>
    <w:p w:rsidR="00E212EB" w:rsidRDefault="00E212EB">
      <w:pPr>
        <w:jc w:val="both"/>
        <w:rPr>
          <w:sz w:val="24"/>
          <w:szCs w:val="24"/>
        </w:rPr>
      </w:pPr>
    </w:p>
    <w:p w:rsidR="00E212EB" w:rsidRDefault="00C867E7">
      <w:pPr>
        <w:numPr>
          <w:ilvl w:val="0"/>
          <w:numId w:val="11"/>
        </w:numPr>
        <w:jc w:val="both"/>
        <w:rPr>
          <w:sz w:val="24"/>
          <w:szCs w:val="24"/>
        </w:rPr>
      </w:pPr>
      <w:r>
        <w:rPr>
          <w:b/>
          <w:sz w:val="24"/>
          <w:szCs w:val="24"/>
        </w:rPr>
        <w:t>Mutaciones de los gene</w:t>
      </w:r>
      <w:r>
        <w:rPr>
          <w:b/>
          <w:sz w:val="24"/>
          <w:szCs w:val="24"/>
        </w:rPr>
        <w:t xml:space="preserve">s en las hormonas esteroideas sexuales : </w:t>
      </w:r>
      <w:r>
        <w:rPr>
          <w:sz w:val="24"/>
          <w:szCs w:val="24"/>
        </w:rPr>
        <w:t xml:space="preserve">Las mutaciones en los genes que codifican varios factores involucrados en la síntesis de las hormonas esteroideas sexuales pueden producir infertilidad, por ejemplo </w:t>
      </w:r>
      <w:r>
        <w:rPr>
          <w:b/>
          <w:sz w:val="24"/>
          <w:szCs w:val="24"/>
        </w:rPr>
        <w:t>StAR</w:t>
      </w:r>
      <w:r>
        <w:rPr>
          <w:sz w:val="24"/>
          <w:szCs w:val="24"/>
        </w:rPr>
        <w:t xml:space="preserve"> que proporciona la proteína responsable del t</w:t>
      </w:r>
      <w:r>
        <w:rPr>
          <w:sz w:val="24"/>
          <w:szCs w:val="24"/>
        </w:rPr>
        <w:t>ransporte del colesterol a la membrana interna mitocondrial, citocromo P450 scc y el gen CYP 11 A, 3-ß-hidroxiesteroide deshidrogenasa, citocromo P450 C17 (el gen CYP 17); ß -esteroide deshidrogenasa; aromatasa (CYP 19); a reductasa (SRD 5A). Las mutacione</w:t>
      </w:r>
      <w:r>
        <w:rPr>
          <w:sz w:val="24"/>
          <w:szCs w:val="24"/>
        </w:rPr>
        <w:t xml:space="preserve">s genéticas que codifican para la síntesis de los esteroides suprarrenales también pueden influir en la fertilidad. Estos incluyen citocromo P450 C21 (gen CYP 21) y citocromo P450 C11 (genes CYP 11 B1). </w:t>
      </w:r>
    </w:p>
    <w:p w:rsidR="00E212EB" w:rsidRDefault="00E212EB">
      <w:pPr>
        <w:ind w:left="720"/>
        <w:jc w:val="both"/>
        <w:rPr>
          <w:sz w:val="24"/>
          <w:szCs w:val="24"/>
        </w:rPr>
      </w:pPr>
    </w:p>
    <w:p w:rsidR="00E212EB" w:rsidRDefault="00C867E7">
      <w:pPr>
        <w:numPr>
          <w:ilvl w:val="0"/>
          <w:numId w:val="11"/>
        </w:numPr>
        <w:jc w:val="both"/>
        <w:rPr>
          <w:sz w:val="24"/>
          <w:szCs w:val="24"/>
        </w:rPr>
      </w:pPr>
      <w:r>
        <w:rPr>
          <w:b/>
          <w:sz w:val="24"/>
          <w:szCs w:val="24"/>
        </w:rPr>
        <w:t>Mutaciones de los genes de los esteroides suprarren</w:t>
      </w:r>
      <w:r>
        <w:rPr>
          <w:b/>
          <w:sz w:val="24"/>
          <w:szCs w:val="24"/>
        </w:rPr>
        <w:t>ales</w:t>
      </w:r>
      <w:r>
        <w:rPr>
          <w:sz w:val="24"/>
          <w:szCs w:val="24"/>
        </w:rPr>
        <w:t>. Las mutaciones genéticas que codifican para la síntesis de los esteroides suprarrenales influyen en la fertilidad. Estos incluyen citocromos P450 C21 (gen CYP 21) y P450 C11 (genes CYP 11 B1).</w:t>
      </w:r>
    </w:p>
    <w:p w:rsidR="00E212EB" w:rsidRDefault="00E212EB">
      <w:pPr>
        <w:jc w:val="both"/>
        <w:rPr>
          <w:sz w:val="24"/>
          <w:szCs w:val="24"/>
        </w:rPr>
      </w:pPr>
    </w:p>
    <w:p w:rsidR="00E212EB" w:rsidRDefault="00C867E7">
      <w:pPr>
        <w:numPr>
          <w:ilvl w:val="0"/>
          <w:numId w:val="15"/>
        </w:numPr>
        <w:jc w:val="both"/>
        <w:rPr>
          <w:sz w:val="24"/>
          <w:szCs w:val="24"/>
        </w:rPr>
      </w:pPr>
      <w:r>
        <w:rPr>
          <w:b/>
          <w:sz w:val="24"/>
          <w:szCs w:val="24"/>
        </w:rPr>
        <w:t xml:space="preserve">Mutaciones en los receptores hormonales nucleares: </w:t>
      </w:r>
      <w:r>
        <w:rPr>
          <w:sz w:val="24"/>
          <w:szCs w:val="24"/>
        </w:rPr>
        <w:t>Las s</w:t>
      </w:r>
      <w:r>
        <w:rPr>
          <w:sz w:val="24"/>
          <w:szCs w:val="24"/>
        </w:rPr>
        <w:t xml:space="preserve">iguientes mutaciones génicas son efectivas en los receptores hormonales nucleares: </w:t>
      </w:r>
      <w:r>
        <w:rPr>
          <w:b/>
          <w:sz w:val="24"/>
          <w:szCs w:val="24"/>
        </w:rPr>
        <w:t>Sf-1</w:t>
      </w:r>
      <w:r>
        <w:rPr>
          <w:sz w:val="24"/>
          <w:szCs w:val="24"/>
        </w:rPr>
        <w:t xml:space="preserve"> que está involucrado en el desarrollo y la diferenciación del aparato reproductor, </w:t>
      </w:r>
      <w:r>
        <w:rPr>
          <w:b/>
          <w:sz w:val="24"/>
          <w:szCs w:val="24"/>
        </w:rPr>
        <w:t>DAX-1</w:t>
      </w:r>
      <w:r>
        <w:rPr>
          <w:sz w:val="24"/>
          <w:szCs w:val="24"/>
        </w:rPr>
        <w:t>, que es una causa de hipoplasia suprarrenal congénita e hipogonadismo hipogonad</w:t>
      </w:r>
      <w:r>
        <w:rPr>
          <w:sz w:val="24"/>
          <w:szCs w:val="24"/>
        </w:rPr>
        <w:t xml:space="preserve">otrópico y genes de los receptores de estrógenos y de receptores de andrógenos. </w:t>
      </w:r>
    </w:p>
    <w:p w:rsidR="00E212EB" w:rsidRDefault="00E212EB">
      <w:pPr>
        <w:ind w:left="720"/>
        <w:jc w:val="both"/>
        <w:rPr>
          <w:sz w:val="24"/>
          <w:szCs w:val="24"/>
        </w:rPr>
      </w:pPr>
    </w:p>
    <w:p w:rsidR="00E212EB" w:rsidRDefault="00C867E7">
      <w:pPr>
        <w:numPr>
          <w:ilvl w:val="0"/>
          <w:numId w:val="15"/>
        </w:numPr>
        <w:jc w:val="both"/>
        <w:rPr>
          <w:b/>
          <w:sz w:val="24"/>
          <w:szCs w:val="24"/>
        </w:rPr>
      </w:pPr>
      <w:r>
        <w:rPr>
          <w:b/>
          <w:sz w:val="24"/>
          <w:szCs w:val="24"/>
        </w:rPr>
        <w:t>Translocaciones.</w:t>
      </w:r>
    </w:p>
    <w:p w:rsidR="00E212EB" w:rsidRDefault="00C867E7">
      <w:pPr>
        <w:numPr>
          <w:ilvl w:val="1"/>
          <w:numId w:val="15"/>
        </w:numPr>
        <w:jc w:val="both"/>
        <w:rPr>
          <w:sz w:val="24"/>
          <w:szCs w:val="24"/>
        </w:rPr>
      </w:pPr>
      <w:r>
        <w:rPr>
          <w:sz w:val="24"/>
          <w:szCs w:val="24"/>
        </w:rPr>
        <w:t>Translocación recíproca autosoma-X: En las mujeres, se presume que el segmento X translocado que contiene loci genéticos X permanece transcripcionalmente act</w:t>
      </w:r>
      <w:r>
        <w:rPr>
          <w:sz w:val="24"/>
          <w:szCs w:val="24"/>
        </w:rPr>
        <w:t>ivo porque los elementos de inactivación X se han eliminado del control del segmento translocado. La inactivación anormal de X del segmento translocado interfiere con el control genético de la progresión de las células germinales, lo que resulta en una det</w:t>
      </w:r>
      <w:r>
        <w:rPr>
          <w:sz w:val="24"/>
          <w:szCs w:val="24"/>
        </w:rPr>
        <w:t xml:space="preserve">ención meiótica en la etapa primaria de los espermatocitos. </w:t>
      </w:r>
    </w:p>
    <w:p w:rsidR="00E212EB" w:rsidRDefault="00E212EB">
      <w:pPr>
        <w:ind w:left="720"/>
        <w:jc w:val="both"/>
        <w:rPr>
          <w:sz w:val="24"/>
          <w:szCs w:val="24"/>
        </w:rPr>
      </w:pPr>
    </w:p>
    <w:p w:rsidR="00E212EB" w:rsidRDefault="00C867E7">
      <w:pPr>
        <w:numPr>
          <w:ilvl w:val="0"/>
          <w:numId w:val="5"/>
        </w:numPr>
        <w:rPr>
          <w:b/>
          <w:sz w:val="24"/>
          <w:szCs w:val="24"/>
        </w:rPr>
      </w:pPr>
      <w:r>
        <w:rPr>
          <w:b/>
          <w:sz w:val="24"/>
          <w:szCs w:val="24"/>
        </w:rPr>
        <w:t xml:space="preserve">Síndrome de ovario poliquístico </w:t>
      </w:r>
    </w:p>
    <w:p w:rsidR="00E212EB" w:rsidRDefault="00C867E7">
      <w:pPr>
        <w:ind w:firstLine="720"/>
        <w:rPr>
          <w:sz w:val="24"/>
          <w:szCs w:val="24"/>
        </w:rPr>
      </w:pPr>
      <w:r>
        <w:rPr>
          <w:sz w:val="24"/>
          <w:szCs w:val="24"/>
        </w:rPr>
        <w:t>Existen compromisos ginecológicos tales como el síndrome de ovario poliquístico y la insuficiencia ovárica prematura en los que podrían estar involucradas varias</w:t>
      </w:r>
      <w:r>
        <w:rPr>
          <w:sz w:val="24"/>
          <w:szCs w:val="24"/>
        </w:rPr>
        <w:t xml:space="preserve"> alteraciones genéticas.  Es necesario hacer un estudio genético en todas las parejas que consultan por infertilidad siempre que surjan sospechas de anomalía, como en el caso de abortos recurrentes o mujeres con insuficiencia ovárica prematura.</w:t>
      </w:r>
    </w:p>
    <w:p w:rsidR="00E212EB" w:rsidRDefault="00C867E7">
      <w:pPr>
        <w:rPr>
          <w:sz w:val="24"/>
          <w:szCs w:val="24"/>
        </w:rPr>
      </w:pPr>
      <w:r>
        <w:rPr>
          <w:sz w:val="24"/>
          <w:szCs w:val="24"/>
        </w:rPr>
        <w:t>El síndrome de ovario poliquístico (SOP) se asocia con resistencia a la insulina, defectos en la secreción de insulina y un riesgo sustancial de desarrollar diabetes mellitus tipo 2. Se han encontrado defectos en la autofosforilación del receptor mediada p</w:t>
      </w:r>
      <w:r>
        <w:rPr>
          <w:sz w:val="24"/>
          <w:szCs w:val="24"/>
        </w:rPr>
        <w:t>or insulina en una proporción sustancial de mujeres. Estudios de 50 familias de probandos con SOP indican que el 24% de las hermanas están afectadas por el SOP. También parece haber un fenotipo intermedio de hermanas con ciclos menstruales regulares que so</w:t>
      </w:r>
      <w:r>
        <w:rPr>
          <w:sz w:val="24"/>
          <w:szCs w:val="24"/>
        </w:rPr>
        <w:t>n hiperandrogénicas (22% de las hermanas)</w:t>
      </w:r>
    </w:p>
    <w:p w:rsidR="00E212EB" w:rsidRDefault="00E212EB">
      <w:pPr>
        <w:rPr>
          <w:sz w:val="24"/>
          <w:szCs w:val="24"/>
        </w:rPr>
      </w:pPr>
    </w:p>
    <w:p w:rsidR="00E212EB" w:rsidRDefault="00E212EB">
      <w:pPr>
        <w:rPr>
          <w:sz w:val="24"/>
          <w:szCs w:val="24"/>
        </w:rPr>
      </w:pPr>
    </w:p>
    <w:p w:rsidR="00E212EB" w:rsidRDefault="00E212EB">
      <w:pPr>
        <w:rPr>
          <w:sz w:val="24"/>
          <w:szCs w:val="24"/>
        </w:rPr>
      </w:pPr>
    </w:p>
    <w:p w:rsidR="00E212EB" w:rsidRDefault="00E212EB">
      <w:pPr>
        <w:rPr>
          <w:sz w:val="24"/>
          <w:szCs w:val="24"/>
        </w:rPr>
      </w:pPr>
    </w:p>
    <w:p w:rsidR="00E212EB" w:rsidRDefault="00C867E7">
      <w:pPr>
        <w:spacing w:before="240" w:after="240"/>
        <w:jc w:val="center"/>
        <w:rPr>
          <w:b/>
          <w:sz w:val="24"/>
          <w:szCs w:val="24"/>
        </w:rPr>
      </w:pPr>
      <w:r>
        <w:rPr>
          <w:b/>
          <w:sz w:val="24"/>
          <w:szCs w:val="24"/>
        </w:rPr>
        <w:t>El efecto de la prevención y el diagnóstico temprano de las enfermedades genéticas relacionadas con la infertilidad.</w:t>
      </w:r>
    </w:p>
    <w:p w:rsidR="00E212EB" w:rsidRDefault="00E212EB">
      <w:pPr>
        <w:spacing w:before="240" w:after="240"/>
        <w:jc w:val="center"/>
        <w:rPr>
          <w:b/>
          <w:sz w:val="24"/>
          <w:szCs w:val="24"/>
        </w:rPr>
      </w:pPr>
    </w:p>
    <w:p w:rsidR="00E212EB" w:rsidRDefault="00C867E7">
      <w:pPr>
        <w:spacing w:before="240" w:after="240"/>
        <w:jc w:val="both"/>
        <w:rPr>
          <w:sz w:val="24"/>
          <w:szCs w:val="24"/>
        </w:rPr>
      </w:pPr>
      <w:r>
        <w:rPr>
          <w:sz w:val="24"/>
          <w:szCs w:val="24"/>
        </w:rPr>
        <w:t>Aunque el advenimiento de nuevas técnicas de reproducción asistida implica mayor riesgo de t</w:t>
      </w:r>
      <w:r>
        <w:rPr>
          <w:sz w:val="24"/>
          <w:szCs w:val="24"/>
        </w:rPr>
        <w:t>ransmisión de padecimientos genéticos; a la par de su desarrollo afortunadamente también se han implementado técnicas que permitan su diagnóstico temprano o, incluso, su prevención, como el diagnóstico prenatal pre o post implantacional. El  diagnóstico pr</w:t>
      </w:r>
      <w:r>
        <w:rPr>
          <w:sz w:val="24"/>
          <w:szCs w:val="24"/>
        </w:rPr>
        <w:t>enatal es un campo relativamente nuevo que comienza a desarrollarse paulatinamente.</w:t>
      </w:r>
    </w:p>
    <w:p w:rsidR="00E212EB" w:rsidRDefault="00C867E7">
      <w:pPr>
        <w:spacing w:before="240" w:after="240"/>
        <w:jc w:val="both"/>
        <w:rPr>
          <w:sz w:val="24"/>
          <w:szCs w:val="24"/>
        </w:rPr>
      </w:pPr>
      <w:r>
        <w:rPr>
          <w:sz w:val="24"/>
          <w:szCs w:val="24"/>
        </w:rPr>
        <w:t>En algunos padecimientos, como las enfermedades cromosómicas, existen maneras de tener un diagnóstico temprano (estudios citogenéticos por biopsia de vellosidades coriónica</w:t>
      </w:r>
      <w:r>
        <w:rPr>
          <w:sz w:val="24"/>
          <w:szCs w:val="24"/>
        </w:rPr>
        <w:t>s o amniocentesis), pero también se dispone de herramientas que permiten hacer el diagnóstico preimplantacional, como ofrecer la selección de sexo en caso de enfermedades ligadas al cromosoma X o al cromosoma Y (microdeleciones del Y) o específicamente det</w:t>
      </w:r>
      <w:r>
        <w:rPr>
          <w:sz w:val="24"/>
          <w:szCs w:val="24"/>
        </w:rPr>
        <w:t xml:space="preserve">ectar las mutaciones, como en la fibrosis quística o la enfermedad de Kennedy. </w:t>
      </w:r>
    </w:p>
    <w:p w:rsidR="00E212EB" w:rsidRDefault="00C867E7">
      <w:pPr>
        <w:spacing w:before="240" w:after="240"/>
        <w:jc w:val="both"/>
        <w:rPr>
          <w:sz w:val="24"/>
          <w:szCs w:val="24"/>
        </w:rPr>
      </w:pPr>
      <w:r>
        <w:rPr>
          <w:sz w:val="24"/>
          <w:szCs w:val="24"/>
        </w:rPr>
        <w:t>Los biólogos de la reproducción, en conjunto con los genetistas clínicos, tienen la responsabilidad de conocer las posibilidades que implica el diagnóstico preimplantacional pa</w:t>
      </w:r>
      <w:r>
        <w:rPr>
          <w:sz w:val="24"/>
          <w:szCs w:val="24"/>
        </w:rPr>
        <w:t>ra prevenir enfermedades genéticas y ofrecerlo como opción factible a los pacientes. Esto permitirá moverse del tamizaje prenatal de aneuploidías (también conocido como tamizaje genético preimplantacional), que es la técnica más diseminada, al verdadero di</w:t>
      </w:r>
      <w:r>
        <w:rPr>
          <w:sz w:val="24"/>
          <w:szCs w:val="24"/>
        </w:rPr>
        <w:t>agnóstico genético preimplantacional. Este último consiste en detectar gametos o embriones afectados en familias afectadas por enfermedades cromosómicas o monogénicas y permitir a las parejas con una alteración genética tener un hijo sano en casa.</w:t>
      </w:r>
    </w:p>
    <w:p w:rsidR="00E212EB" w:rsidRDefault="00E212EB">
      <w:pPr>
        <w:rPr>
          <w:sz w:val="24"/>
          <w:szCs w:val="24"/>
        </w:rPr>
      </w:pPr>
    </w:p>
    <w:p w:rsidR="00E212EB" w:rsidRDefault="00E212EB">
      <w:pPr>
        <w:jc w:val="center"/>
        <w:rPr>
          <w:b/>
          <w:color w:val="202124"/>
          <w:sz w:val="24"/>
          <w:szCs w:val="24"/>
          <w:shd w:val="clear" w:color="auto" w:fill="F8F9FA"/>
        </w:rPr>
      </w:pPr>
    </w:p>
    <w:p w:rsidR="00E212EB" w:rsidRDefault="00C867E7">
      <w:pPr>
        <w:jc w:val="center"/>
        <w:rPr>
          <w:b/>
          <w:color w:val="202124"/>
          <w:sz w:val="24"/>
          <w:szCs w:val="24"/>
        </w:rPr>
      </w:pPr>
      <w:r>
        <w:rPr>
          <w:b/>
          <w:color w:val="202124"/>
          <w:sz w:val="24"/>
          <w:szCs w:val="24"/>
        </w:rPr>
        <w:t>ENFERM</w:t>
      </w:r>
      <w:r>
        <w:rPr>
          <w:b/>
          <w:color w:val="202124"/>
          <w:sz w:val="24"/>
          <w:szCs w:val="24"/>
        </w:rPr>
        <w:t>EDADES CRÓNICAS</w:t>
      </w:r>
    </w:p>
    <w:p w:rsidR="00E212EB" w:rsidRDefault="00C867E7">
      <w:pPr>
        <w:spacing w:before="240" w:after="240"/>
        <w:jc w:val="both"/>
        <w:rPr>
          <w:color w:val="202124"/>
          <w:sz w:val="24"/>
          <w:szCs w:val="24"/>
        </w:rPr>
      </w:pPr>
      <w:r>
        <w:rPr>
          <w:color w:val="202124"/>
          <w:sz w:val="24"/>
          <w:szCs w:val="24"/>
        </w:rPr>
        <w:t>Se define como enfermedades crónicas a aquellas que presentan invalidez permanente o residual por una alteración patológica irreversible o aquella que requiere períodos de supervisión, observación, atención y/o rehabilitación prolongada.</w:t>
      </w:r>
    </w:p>
    <w:p w:rsidR="00E212EB" w:rsidRDefault="00C867E7">
      <w:pPr>
        <w:spacing w:before="240" w:after="240"/>
        <w:jc w:val="both"/>
        <w:rPr>
          <w:color w:val="202124"/>
          <w:sz w:val="24"/>
          <w:szCs w:val="24"/>
        </w:rPr>
      </w:pPr>
      <w:r>
        <w:rPr>
          <w:color w:val="202124"/>
          <w:sz w:val="24"/>
          <w:szCs w:val="24"/>
        </w:rPr>
        <w:br/>
      </w:r>
      <w:r>
        <w:rPr>
          <w:color w:val="202124"/>
          <w:sz w:val="24"/>
          <w:szCs w:val="24"/>
        </w:rPr>
        <w:t xml:space="preserve">El común denominador es la </w:t>
      </w:r>
      <w:r>
        <w:rPr>
          <w:b/>
          <w:color w:val="202124"/>
          <w:sz w:val="24"/>
          <w:szCs w:val="24"/>
        </w:rPr>
        <w:t>desnutrición</w:t>
      </w:r>
      <w:r>
        <w:rPr>
          <w:color w:val="202124"/>
          <w:sz w:val="24"/>
          <w:szCs w:val="24"/>
        </w:rPr>
        <w:t>, con pérdida de peso, amenorrea, alteración del eje hipotálamo-hipófiso-gonadal (HHG), acción directa sobre el hipotálamo y ovario. El tratamiento puede provocar alteraciones en la función del eje HHG en forma revers</w:t>
      </w:r>
      <w:r>
        <w:rPr>
          <w:color w:val="202124"/>
          <w:sz w:val="24"/>
          <w:szCs w:val="24"/>
        </w:rPr>
        <w:t>ible o irreversible.</w:t>
      </w:r>
    </w:p>
    <w:p w:rsidR="00E212EB" w:rsidRDefault="00C867E7">
      <w:pPr>
        <w:spacing w:before="240" w:after="240"/>
        <w:jc w:val="both"/>
        <w:rPr>
          <w:color w:val="202124"/>
          <w:sz w:val="24"/>
          <w:szCs w:val="24"/>
        </w:rPr>
      </w:pPr>
      <w:r>
        <w:rPr>
          <w:color w:val="202124"/>
          <w:sz w:val="24"/>
          <w:szCs w:val="24"/>
        </w:rPr>
        <w:br/>
        <w:t xml:space="preserve">La cronicidad de la enfermedad causa un </w:t>
      </w:r>
      <w:r>
        <w:rPr>
          <w:b/>
          <w:color w:val="202124"/>
          <w:sz w:val="24"/>
          <w:szCs w:val="24"/>
        </w:rPr>
        <w:t>impacto biopsicosocial</w:t>
      </w:r>
      <w:r>
        <w:rPr>
          <w:color w:val="202124"/>
          <w:sz w:val="24"/>
          <w:szCs w:val="24"/>
        </w:rPr>
        <w:t xml:space="preserve"> sobre el paciente y la familia, muchas veces más importantes que el proceso patológico en sí.</w:t>
      </w:r>
      <w:r>
        <w:rPr>
          <w:color w:val="202124"/>
          <w:sz w:val="24"/>
          <w:szCs w:val="24"/>
        </w:rPr>
        <w:br/>
      </w:r>
    </w:p>
    <w:p w:rsidR="00E212EB" w:rsidRDefault="00C867E7">
      <w:pPr>
        <w:spacing w:before="240" w:after="240" w:line="360" w:lineRule="auto"/>
        <w:jc w:val="both"/>
        <w:rPr>
          <w:b/>
          <w:sz w:val="24"/>
          <w:szCs w:val="24"/>
          <w:u w:val="single"/>
        </w:rPr>
      </w:pPr>
      <w:r>
        <w:rPr>
          <w:b/>
          <w:sz w:val="24"/>
          <w:szCs w:val="24"/>
          <w:u w:val="single"/>
        </w:rPr>
        <w:t xml:space="preserve">Enfermedades sistémicas crónicas </w:t>
      </w:r>
    </w:p>
    <w:p w:rsidR="00E212EB" w:rsidRDefault="00C867E7">
      <w:pPr>
        <w:spacing w:before="240" w:after="240" w:line="360" w:lineRule="auto"/>
        <w:ind w:left="720"/>
        <w:jc w:val="both"/>
        <w:rPr>
          <w:color w:val="202124"/>
          <w:sz w:val="24"/>
          <w:szCs w:val="24"/>
        </w:rPr>
      </w:pPr>
      <w:r>
        <w:rPr>
          <w:rFonts w:ascii="Arial Unicode MS" w:eastAsia="Arial Unicode MS" w:hAnsi="Arial Unicode MS" w:cs="Arial Unicode MS"/>
          <w:color w:val="202124"/>
          <w:sz w:val="24"/>
          <w:szCs w:val="24"/>
        </w:rPr>
        <w:t>1-Fibrosis Quística</w:t>
      </w:r>
      <w:r>
        <w:rPr>
          <w:rFonts w:ascii="Arial Unicode MS" w:eastAsia="Arial Unicode MS" w:hAnsi="Arial Unicode MS" w:cs="Arial Unicode MS"/>
          <w:color w:val="202124"/>
          <w:sz w:val="24"/>
          <w:szCs w:val="24"/>
        </w:rPr>
        <w:br/>
        <w:t>2-Enfermedades Gastroi</w:t>
      </w:r>
      <w:r>
        <w:rPr>
          <w:rFonts w:ascii="Arial Unicode MS" w:eastAsia="Arial Unicode MS" w:hAnsi="Arial Unicode MS" w:cs="Arial Unicode MS"/>
          <w:color w:val="202124"/>
          <w:sz w:val="24"/>
          <w:szCs w:val="24"/>
        </w:rPr>
        <w:t>ntestinales</w:t>
      </w:r>
      <w:r>
        <w:rPr>
          <w:rFonts w:ascii="Arial Unicode MS" w:eastAsia="Arial Unicode MS" w:hAnsi="Arial Unicode MS" w:cs="Arial Unicode MS"/>
          <w:color w:val="202124"/>
          <w:sz w:val="24"/>
          <w:szCs w:val="24"/>
        </w:rPr>
        <w:br/>
        <w:t>3-Insuficiencia Renal Crónica  (IRC) y trasplante renal</w:t>
      </w:r>
      <w:r>
        <w:rPr>
          <w:rFonts w:ascii="Arial Unicode MS" w:eastAsia="Arial Unicode MS" w:hAnsi="Arial Unicode MS" w:cs="Arial Unicode MS"/>
          <w:color w:val="202124"/>
          <w:sz w:val="24"/>
          <w:szCs w:val="24"/>
        </w:rPr>
        <w:br/>
        <w:t>4-Insuficiencia hepática y trasplante hepático</w:t>
      </w:r>
      <w:r>
        <w:rPr>
          <w:rFonts w:ascii="Arial Unicode MS" w:eastAsia="Arial Unicode MS" w:hAnsi="Arial Unicode MS" w:cs="Arial Unicode MS"/>
          <w:color w:val="202124"/>
          <w:sz w:val="24"/>
          <w:szCs w:val="24"/>
        </w:rPr>
        <w:br/>
        <w:t>5-Enfermedades infecciosas  →  SIDA, virus, bacterias, parásitos</w:t>
      </w:r>
      <w:r>
        <w:rPr>
          <w:rFonts w:ascii="Arial Unicode MS" w:eastAsia="Arial Unicode MS" w:hAnsi="Arial Unicode MS" w:cs="Arial Unicode MS"/>
          <w:color w:val="202124"/>
          <w:sz w:val="24"/>
          <w:szCs w:val="24"/>
        </w:rPr>
        <w:br/>
        <w:t>6-Enfermedades Inmunológicas →  Lupus Eritematoso</w:t>
      </w:r>
      <w:r>
        <w:rPr>
          <w:rFonts w:ascii="Arial Unicode MS" w:eastAsia="Arial Unicode MS" w:hAnsi="Arial Unicode MS" w:cs="Arial Unicode MS"/>
          <w:color w:val="202124"/>
          <w:sz w:val="24"/>
          <w:szCs w:val="24"/>
        </w:rPr>
        <w:br/>
        <w:t xml:space="preserve">7-Enfermedades endocrinas </w:t>
      </w:r>
      <w:r>
        <w:rPr>
          <w:rFonts w:ascii="Arial Unicode MS" w:eastAsia="Arial Unicode MS" w:hAnsi="Arial Unicode MS" w:cs="Arial Unicode MS"/>
          <w:color w:val="202124"/>
          <w:sz w:val="24"/>
          <w:szCs w:val="24"/>
        </w:rPr>
        <w:t>→  Diabetes Mellitus</w:t>
      </w:r>
      <w:r>
        <w:rPr>
          <w:rFonts w:ascii="Arial Unicode MS" w:eastAsia="Arial Unicode MS" w:hAnsi="Arial Unicode MS" w:cs="Arial Unicode MS"/>
          <w:color w:val="202124"/>
          <w:sz w:val="24"/>
          <w:szCs w:val="24"/>
        </w:rPr>
        <w:br/>
        <w:t xml:space="preserve">8-Enfermedades Mentales → Depresión </w:t>
      </w:r>
    </w:p>
    <w:p w:rsidR="00E212EB" w:rsidRDefault="00C867E7">
      <w:pPr>
        <w:spacing w:before="240" w:after="240"/>
        <w:jc w:val="both"/>
        <w:rPr>
          <w:b/>
          <w:sz w:val="24"/>
          <w:szCs w:val="24"/>
        </w:rPr>
      </w:pPr>
      <w:r>
        <w:rPr>
          <w:sz w:val="24"/>
          <w:szCs w:val="24"/>
        </w:rPr>
        <w:t>1</w:t>
      </w:r>
      <w:r>
        <w:rPr>
          <w:b/>
          <w:sz w:val="24"/>
          <w:szCs w:val="24"/>
        </w:rPr>
        <w:t>-Fibrosis Quística</w:t>
      </w:r>
    </w:p>
    <w:p w:rsidR="00E212EB" w:rsidRDefault="00C867E7">
      <w:pPr>
        <w:spacing w:before="240" w:after="240"/>
        <w:jc w:val="both"/>
        <w:rPr>
          <w:sz w:val="24"/>
          <w:szCs w:val="24"/>
        </w:rPr>
      </w:pPr>
      <w:r>
        <w:rPr>
          <w:sz w:val="24"/>
          <w:szCs w:val="24"/>
        </w:rPr>
        <w:t>Enfermedad hereditaria, crónica y progresiva que se caracteriza por presentar función glandular exocrina anormal. Es autosómica recesiva letal, y se presenta más frecuente en cau</w:t>
      </w:r>
      <w:r>
        <w:rPr>
          <w:sz w:val="24"/>
          <w:szCs w:val="24"/>
        </w:rPr>
        <w:t xml:space="preserve">cásicos, los cuales no sobreviven más de 20 años. </w:t>
      </w:r>
    </w:p>
    <w:p w:rsidR="00E212EB" w:rsidRDefault="00C867E7">
      <w:pPr>
        <w:numPr>
          <w:ilvl w:val="0"/>
          <w:numId w:val="9"/>
        </w:numPr>
        <w:spacing w:before="240"/>
        <w:jc w:val="both"/>
        <w:rPr>
          <w:sz w:val="24"/>
          <w:szCs w:val="24"/>
        </w:rPr>
      </w:pPr>
      <w:r>
        <w:rPr>
          <w:sz w:val="24"/>
          <w:szCs w:val="24"/>
        </w:rPr>
        <w:t>Infertilidad en hombres con FQ.:El 98% de los hombres son infértiles (ausencia o defectos del conducto deferente, epidídimo y vesículas seminales).</w:t>
      </w:r>
    </w:p>
    <w:p w:rsidR="00E212EB" w:rsidRDefault="00C867E7">
      <w:pPr>
        <w:numPr>
          <w:ilvl w:val="0"/>
          <w:numId w:val="9"/>
        </w:numPr>
        <w:spacing w:after="240"/>
        <w:jc w:val="both"/>
        <w:rPr>
          <w:sz w:val="24"/>
          <w:szCs w:val="24"/>
        </w:rPr>
      </w:pPr>
      <w:r>
        <w:rPr>
          <w:sz w:val="24"/>
          <w:szCs w:val="24"/>
        </w:rPr>
        <w:t xml:space="preserve">Infertilidad en mujeres con FQ:Al llegar a la menarca las mujeres presentan buen ritmo menstrual en tanto su estado nutricional permanece adecuado, es decir, afecta más la desnutrición que la enfermedad en sí. La amenorrea se presenta cuando el porcentaje </w:t>
      </w:r>
      <w:r>
        <w:rPr>
          <w:sz w:val="24"/>
          <w:szCs w:val="24"/>
        </w:rPr>
        <w:t>de grasa corporal desciende por debajo del 18-22%, como consecuencia de una disminución en la pulsatilidad de las gonadotrofinas. (osteoporosis, amenorrea). También se observa presencia de mucus cervical anormal. Pueden embarazarse y tener hijos sanos pero</w:t>
      </w:r>
      <w:r>
        <w:rPr>
          <w:sz w:val="24"/>
          <w:szCs w:val="24"/>
        </w:rPr>
        <w:t xml:space="preserve"> el riesgo materno y fetal está está relacionado con la levedad o gravedad de la extensión de la enfermedad pulmonar y sus complicaciones.</w:t>
      </w:r>
    </w:p>
    <w:p w:rsidR="00E212EB" w:rsidRDefault="00C867E7">
      <w:pPr>
        <w:spacing w:before="240" w:after="240"/>
        <w:jc w:val="both"/>
        <w:rPr>
          <w:b/>
          <w:sz w:val="24"/>
          <w:szCs w:val="24"/>
        </w:rPr>
      </w:pPr>
      <w:r>
        <w:rPr>
          <w:sz w:val="24"/>
          <w:szCs w:val="24"/>
        </w:rPr>
        <w:t>2-</w:t>
      </w:r>
      <w:r>
        <w:rPr>
          <w:b/>
          <w:sz w:val="24"/>
          <w:szCs w:val="24"/>
        </w:rPr>
        <w:t>Enfermedades Gastrointestinales</w:t>
      </w:r>
    </w:p>
    <w:p w:rsidR="00E212EB" w:rsidRDefault="00C867E7">
      <w:pPr>
        <w:numPr>
          <w:ilvl w:val="0"/>
          <w:numId w:val="8"/>
        </w:numPr>
        <w:spacing w:before="240"/>
        <w:jc w:val="both"/>
        <w:rPr>
          <w:sz w:val="24"/>
          <w:szCs w:val="24"/>
        </w:rPr>
      </w:pPr>
      <w:r>
        <w:rPr>
          <w:sz w:val="24"/>
          <w:szCs w:val="24"/>
        </w:rPr>
        <w:t>Enteritis regional (Defecto de la integridad de la mucosa): Enfermedad inflamatoria</w:t>
      </w:r>
      <w:r>
        <w:rPr>
          <w:sz w:val="24"/>
          <w:szCs w:val="24"/>
        </w:rPr>
        <w:t xml:space="preserve"> activa que perturba la función de las células de la mucosa. Hay gran depleción de proteínas y se acompaña de anemia marcada, eritrosedimentación acelerada y sangre oculta en materia fecal. Produce desnutrición y amenorrea.</w:t>
      </w:r>
    </w:p>
    <w:p w:rsidR="00E212EB" w:rsidRDefault="00C867E7">
      <w:pPr>
        <w:numPr>
          <w:ilvl w:val="0"/>
          <w:numId w:val="8"/>
        </w:numPr>
        <w:jc w:val="both"/>
        <w:rPr>
          <w:sz w:val="24"/>
          <w:szCs w:val="24"/>
        </w:rPr>
      </w:pPr>
      <w:r>
        <w:rPr>
          <w:sz w:val="24"/>
          <w:szCs w:val="24"/>
        </w:rPr>
        <w:t>Síndrome de Mala Absorción: Esta</w:t>
      </w:r>
      <w:r>
        <w:rPr>
          <w:sz w:val="24"/>
          <w:szCs w:val="24"/>
        </w:rPr>
        <w:t xml:space="preserve"> entidad está asociada a distensión abdominal, esteatorrea e hiponatremia, con gran pérdida de peso. La amenorrea se instala al final del descenso de peso.</w:t>
      </w:r>
    </w:p>
    <w:p w:rsidR="00E212EB" w:rsidRDefault="00C867E7">
      <w:pPr>
        <w:numPr>
          <w:ilvl w:val="0"/>
          <w:numId w:val="8"/>
        </w:numPr>
        <w:jc w:val="both"/>
        <w:rPr>
          <w:sz w:val="24"/>
          <w:szCs w:val="24"/>
        </w:rPr>
      </w:pPr>
      <w:r>
        <w:rPr>
          <w:sz w:val="24"/>
          <w:szCs w:val="24"/>
        </w:rPr>
        <w:t xml:space="preserve">Enfermedad Celíaca: Pérdida de peso. Esteatorrea. La desnutrición lleva a la amenorrea. </w:t>
      </w:r>
    </w:p>
    <w:p w:rsidR="00E212EB" w:rsidRDefault="00C867E7">
      <w:pPr>
        <w:numPr>
          <w:ilvl w:val="0"/>
          <w:numId w:val="8"/>
        </w:numPr>
        <w:jc w:val="both"/>
        <w:rPr>
          <w:sz w:val="24"/>
          <w:szCs w:val="24"/>
        </w:rPr>
      </w:pPr>
      <w:r>
        <w:rPr>
          <w:sz w:val="24"/>
          <w:szCs w:val="24"/>
        </w:rPr>
        <w:t xml:space="preserve">Enfermedad </w:t>
      </w:r>
      <w:r>
        <w:rPr>
          <w:sz w:val="24"/>
          <w:szCs w:val="24"/>
        </w:rPr>
        <w:t>de Crohn: Dolor abdominal (cólicos), diarrea, pérdida de peso, tumor, fiebre, fístulas internas y externas. En la adolescencia se observa la detención del desarrollo puberal y en las mujeres, la amenorrea e infertilidad en los casos más graves con activida</w:t>
      </w:r>
      <w:r>
        <w:rPr>
          <w:sz w:val="24"/>
          <w:szCs w:val="24"/>
        </w:rPr>
        <w:t xml:space="preserve">d crónica de la enfermedad. </w:t>
      </w:r>
    </w:p>
    <w:p w:rsidR="00E212EB" w:rsidRDefault="00C867E7">
      <w:pPr>
        <w:numPr>
          <w:ilvl w:val="0"/>
          <w:numId w:val="8"/>
        </w:numPr>
        <w:spacing w:after="240"/>
        <w:jc w:val="both"/>
        <w:rPr>
          <w:sz w:val="24"/>
          <w:szCs w:val="24"/>
        </w:rPr>
      </w:pPr>
      <w:r>
        <w:rPr>
          <w:sz w:val="24"/>
          <w:szCs w:val="24"/>
        </w:rPr>
        <w:t>Colitis Ulcerosa: Predomina la diarrea, enterorragia, dolor abdominal, fiebre y pérdida de peso. Las adolescentes y mujeres en madurez sexual presentan las mismas características que la enfermedad de Crohn.</w:t>
      </w:r>
    </w:p>
    <w:p w:rsidR="00E212EB" w:rsidRDefault="00C867E7">
      <w:pPr>
        <w:spacing w:before="240" w:after="240"/>
        <w:jc w:val="both"/>
        <w:rPr>
          <w:b/>
          <w:sz w:val="24"/>
          <w:szCs w:val="24"/>
        </w:rPr>
      </w:pPr>
      <w:r>
        <w:rPr>
          <w:sz w:val="24"/>
          <w:szCs w:val="24"/>
        </w:rPr>
        <w:t>3-</w:t>
      </w:r>
      <w:r>
        <w:rPr>
          <w:b/>
          <w:sz w:val="24"/>
          <w:szCs w:val="24"/>
        </w:rPr>
        <w:t xml:space="preserve"> Insuficiencia ren</w:t>
      </w:r>
      <w:r>
        <w:rPr>
          <w:b/>
          <w:sz w:val="24"/>
          <w:szCs w:val="24"/>
        </w:rPr>
        <w:t xml:space="preserve">al crónica y trasplante renal. </w:t>
      </w:r>
    </w:p>
    <w:p w:rsidR="00E212EB" w:rsidRDefault="00C867E7">
      <w:pPr>
        <w:spacing w:before="240" w:after="240"/>
        <w:jc w:val="both"/>
        <w:rPr>
          <w:sz w:val="24"/>
          <w:szCs w:val="24"/>
        </w:rPr>
      </w:pPr>
      <w:r>
        <w:rPr>
          <w:sz w:val="24"/>
          <w:szCs w:val="24"/>
        </w:rPr>
        <w:br/>
        <w:t xml:space="preserve">La fisiopatología del hipogonadismo en la insuficiencia renal crónica (IRC) es compleja. El mecanismo de esta alteración es la disfunción hipotálamohipófiso-gonadal. La anormalidad de la secreción de gonadotrofinas estaría </w:t>
      </w:r>
      <w:r>
        <w:rPr>
          <w:sz w:val="24"/>
          <w:szCs w:val="24"/>
        </w:rPr>
        <w:t>ocasionada por la uremia y por los bajos niveles de albúmina, siendo también importante la severa malnutrición que presentan estas pacientes. La fertilidad disminuye en los pacientes con IRC: en las mujeres, los ciclos suelen ser anovulatorios y en los var</w:t>
      </w:r>
      <w:r>
        <w:rPr>
          <w:sz w:val="24"/>
          <w:szCs w:val="24"/>
        </w:rPr>
        <w:t>ones hay una alteración de la espermatogénesis, que afecta fundamentalmente a los estadíos tardíos. A la disfunción sexual pueden contribuir, además del hipogonadismo, factores vasculares y neurológicos.</w:t>
      </w:r>
    </w:p>
    <w:p w:rsidR="00E212EB" w:rsidRDefault="00C867E7">
      <w:pPr>
        <w:spacing w:before="240" w:after="240"/>
        <w:jc w:val="both"/>
        <w:rPr>
          <w:b/>
          <w:sz w:val="24"/>
          <w:szCs w:val="24"/>
        </w:rPr>
      </w:pPr>
      <w:r>
        <w:rPr>
          <w:sz w:val="24"/>
          <w:szCs w:val="24"/>
        </w:rPr>
        <w:t>4-</w:t>
      </w:r>
      <w:r>
        <w:rPr>
          <w:b/>
          <w:sz w:val="24"/>
          <w:szCs w:val="24"/>
        </w:rPr>
        <w:t xml:space="preserve"> Insuficiencia hepática y trasplante.</w:t>
      </w:r>
    </w:p>
    <w:p w:rsidR="00E212EB" w:rsidRDefault="00C867E7">
      <w:pPr>
        <w:spacing w:before="240" w:after="240"/>
        <w:jc w:val="both"/>
        <w:rPr>
          <w:sz w:val="24"/>
          <w:szCs w:val="24"/>
        </w:rPr>
      </w:pPr>
      <w:r>
        <w:rPr>
          <w:sz w:val="24"/>
          <w:szCs w:val="24"/>
        </w:rPr>
        <w:t xml:space="preserve">La cirrosis </w:t>
      </w:r>
      <w:r>
        <w:rPr>
          <w:sz w:val="24"/>
          <w:szCs w:val="24"/>
        </w:rPr>
        <w:t>hepática se asocia de forma característica a un hipogonadismo, cuya gravedad se relaciona con el grado de compromiso hepático y es independiente de la etiología de la cirrosis, si bien la persistencia del consumo de etanol potencia las alteraciones. Las go</w:t>
      </w:r>
      <w:r>
        <w:rPr>
          <w:sz w:val="24"/>
          <w:szCs w:val="24"/>
        </w:rPr>
        <w:t xml:space="preserve">nadotrofinas suelen estar elevadas, lo que sugiere una falla gonadal primaria. </w:t>
      </w:r>
    </w:p>
    <w:p w:rsidR="00E212EB" w:rsidRDefault="00C867E7">
      <w:pPr>
        <w:spacing w:before="240" w:after="240"/>
        <w:jc w:val="both"/>
        <w:rPr>
          <w:sz w:val="24"/>
          <w:szCs w:val="24"/>
        </w:rPr>
      </w:pPr>
      <w:r>
        <w:rPr>
          <w:sz w:val="24"/>
          <w:szCs w:val="24"/>
        </w:rPr>
        <w:t>Una rápida recuperación del ritmo menstrual se observó con posterioridad al trasplante: 3.2 ± 1.2 meses y se observaron embarazos posteriores. Madrosbacher en 1994, reportó que</w:t>
      </w:r>
      <w:r>
        <w:rPr>
          <w:sz w:val="24"/>
          <w:szCs w:val="24"/>
        </w:rPr>
        <w:t xml:space="preserve"> el eje hipotálamo hipófiso-gonadal puede recuperar su función tanto en hombres como en mujeres luego del trasplante hepático.</w:t>
      </w:r>
    </w:p>
    <w:p w:rsidR="00E212EB" w:rsidRDefault="00C867E7">
      <w:pPr>
        <w:spacing w:before="240" w:after="240"/>
        <w:jc w:val="both"/>
        <w:rPr>
          <w:sz w:val="24"/>
          <w:szCs w:val="24"/>
        </w:rPr>
      </w:pPr>
      <w:r>
        <w:rPr>
          <w:sz w:val="24"/>
          <w:szCs w:val="24"/>
        </w:rPr>
        <w:t>5-</w:t>
      </w:r>
      <w:r>
        <w:rPr>
          <w:b/>
          <w:sz w:val="24"/>
          <w:szCs w:val="24"/>
        </w:rPr>
        <w:t xml:space="preserve"> Enfermedades infecciosas virus- bacterias- parásitos</w:t>
      </w:r>
      <w:r>
        <w:rPr>
          <w:sz w:val="24"/>
          <w:szCs w:val="24"/>
        </w:rPr>
        <w:t>.</w:t>
      </w:r>
    </w:p>
    <w:p w:rsidR="00E212EB" w:rsidRDefault="00C867E7">
      <w:pPr>
        <w:spacing w:before="240" w:after="240"/>
        <w:jc w:val="both"/>
        <w:rPr>
          <w:sz w:val="24"/>
          <w:szCs w:val="24"/>
        </w:rPr>
      </w:pPr>
      <w:r>
        <w:rPr>
          <w:sz w:val="24"/>
          <w:szCs w:val="24"/>
        </w:rPr>
        <w:t xml:space="preserve">Los virus pueden asociarse con ooforitis y falla ovárica precoz (FOP). </w:t>
      </w:r>
      <w:r>
        <w:rPr>
          <w:sz w:val="24"/>
          <w:szCs w:val="24"/>
        </w:rPr>
        <w:br/>
      </w:r>
      <w:r>
        <w:rPr>
          <w:sz w:val="24"/>
          <w:szCs w:val="24"/>
        </w:rPr>
        <w:t>Se reportaron casos de pacientes con infección previa (varicela, shigellosis o malara) que presentaban FOP. Además, se encontraron casos de ooforitis debido al virus de la parotiditis, los cuales presentaban menopausia precoz. También se encontró ooforitis</w:t>
      </w:r>
      <w:r>
        <w:rPr>
          <w:sz w:val="24"/>
          <w:szCs w:val="24"/>
        </w:rPr>
        <w:t xml:space="preserve"> en pacientes que presentaban citomegalovirus asociado a otras enfermedades autoinmunes como Síndrome de Inmunodeficiencia adquirida (SIDA) o Linfoma.</w:t>
      </w:r>
    </w:p>
    <w:p w:rsidR="00E212EB" w:rsidRDefault="00C867E7">
      <w:pPr>
        <w:spacing w:before="240" w:after="240"/>
        <w:jc w:val="both"/>
        <w:rPr>
          <w:sz w:val="24"/>
          <w:szCs w:val="24"/>
        </w:rPr>
      </w:pPr>
      <w:r>
        <w:rPr>
          <w:sz w:val="24"/>
          <w:szCs w:val="24"/>
        </w:rPr>
        <w:t>6</w:t>
      </w:r>
      <w:r>
        <w:rPr>
          <w:b/>
          <w:sz w:val="24"/>
          <w:szCs w:val="24"/>
        </w:rPr>
        <w:t>- Enfermedades inmunológicas.</w:t>
      </w:r>
      <w:r>
        <w:rPr>
          <w:sz w:val="24"/>
          <w:szCs w:val="24"/>
        </w:rPr>
        <w:br/>
        <w:t xml:space="preserve">-Lupus Eritematoso Sistémico (LES) </w:t>
      </w:r>
      <w:r>
        <w:rPr>
          <w:sz w:val="24"/>
          <w:szCs w:val="24"/>
        </w:rPr>
        <w:br/>
        <w:t>Es una enfermedad crónica, en la que t</w:t>
      </w:r>
      <w:r>
        <w:rPr>
          <w:sz w:val="24"/>
          <w:szCs w:val="24"/>
        </w:rPr>
        <w:t>ejidos y células sufren daño por el depósito de anticuerpos y complejos inmunitarios. El 90% se presenta en mujeres jóvenes en etapa reproductiva, aunque también afecta niños, varones y ancianos. Las tasas de fecundidad son normales en las pacientes lúpica</w:t>
      </w:r>
      <w:r>
        <w:rPr>
          <w:sz w:val="24"/>
          <w:szCs w:val="24"/>
        </w:rPr>
        <w:t xml:space="preserve">s, pero es grande el índice de abortos espontáneos y mortinatos (30 a 50%), especialmente en las que tienen el anticoagulante lúpico, anticuerpos cardiolipina, o ambos. </w:t>
      </w:r>
    </w:p>
    <w:p w:rsidR="00E212EB" w:rsidRDefault="00C867E7">
      <w:pPr>
        <w:spacing w:before="240" w:after="240"/>
        <w:jc w:val="both"/>
        <w:rPr>
          <w:sz w:val="24"/>
          <w:szCs w:val="24"/>
        </w:rPr>
      </w:pPr>
      <w:r>
        <w:rPr>
          <w:sz w:val="24"/>
          <w:szCs w:val="24"/>
        </w:rPr>
        <w:t>El tratamiento con ciclofosfamida en el L.E.S. puede producir, según distintas series,</w:t>
      </w:r>
      <w:r>
        <w:rPr>
          <w:sz w:val="24"/>
          <w:szCs w:val="24"/>
        </w:rPr>
        <w:t xml:space="preserve"> una falla ovárica entre 1 y 59%. </w:t>
      </w:r>
    </w:p>
    <w:p w:rsidR="00E212EB" w:rsidRDefault="00C867E7">
      <w:pPr>
        <w:spacing w:before="240" w:after="240"/>
        <w:jc w:val="both"/>
        <w:rPr>
          <w:sz w:val="24"/>
          <w:szCs w:val="24"/>
        </w:rPr>
      </w:pPr>
      <w:r>
        <w:rPr>
          <w:sz w:val="24"/>
          <w:szCs w:val="24"/>
        </w:rPr>
        <w:t xml:space="preserve">7- </w:t>
      </w:r>
      <w:r>
        <w:rPr>
          <w:b/>
          <w:sz w:val="24"/>
          <w:szCs w:val="24"/>
        </w:rPr>
        <w:t>Enfermedades endocrinas.</w:t>
      </w:r>
      <w:r>
        <w:rPr>
          <w:sz w:val="24"/>
          <w:szCs w:val="24"/>
        </w:rPr>
        <w:t xml:space="preserve"> </w:t>
      </w:r>
    </w:p>
    <w:p w:rsidR="00E212EB" w:rsidRDefault="00C867E7">
      <w:pPr>
        <w:spacing w:before="240" w:after="240"/>
        <w:jc w:val="both"/>
        <w:rPr>
          <w:sz w:val="24"/>
          <w:szCs w:val="24"/>
        </w:rPr>
      </w:pPr>
      <w:r>
        <w:rPr>
          <w:sz w:val="24"/>
          <w:szCs w:val="24"/>
        </w:rPr>
        <w:t>Diabetes Mellitus, es un síndrome clínico que resulta de la secreción deficiente de insulina que puede ser absoluta o selectiva. Se caracteriza por alteraciones importantes que afectan a los lípidos e hidratos de carbono, siendo una de las enfermedades met</w:t>
      </w:r>
      <w:r>
        <w:rPr>
          <w:sz w:val="24"/>
          <w:szCs w:val="24"/>
        </w:rPr>
        <w:t xml:space="preserve">abólicas más frecuentes. Existen dos formas: la Diabetes Mellitus tipo I o Diabetes Mellitus insulino dependiente (DMID) y la tipo II o Diabetes Mellitus no insulino dependiente (DMNID). </w:t>
      </w:r>
    </w:p>
    <w:p w:rsidR="00E212EB" w:rsidRDefault="00C867E7">
      <w:pPr>
        <w:spacing w:before="240" w:after="240"/>
        <w:jc w:val="both"/>
        <w:rPr>
          <w:sz w:val="24"/>
          <w:szCs w:val="24"/>
        </w:rPr>
      </w:pPr>
      <w:r>
        <w:rPr>
          <w:sz w:val="24"/>
          <w:szCs w:val="24"/>
        </w:rPr>
        <w:t>La Diabetes Mellitus mal controlada, puede asociarse con crecimiento</w:t>
      </w:r>
      <w:r>
        <w:rPr>
          <w:sz w:val="24"/>
          <w:szCs w:val="24"/>
        </w:rPr>
        <w:t xml:space="preserve"> deficiente, infiltración grasa del hígado e infantilismo sexual (síndrome de Mauriac), probablemente debido a una desnutrición. Los adolescentes con diabetes mal controlada (aún cuando la falta de control sea marginal), generalmente presentan un grado de </w:t>
      </w:r>
      <w:r>
        <w:rPr>
          <w:sz w:val="24"/>
          <w:szCs w:val="24"/>
        </w:rPr>
        <w:t>deficiencia del crecimiento y un retraso de la pubertad o irregularidades menstruales. En pacientes insulino-dependientes con buen control de su glucemia, la aparición de la menarca puede verse retrasada entre seis meses a un año.</w:t>
      </w:r>
    </w:p>
    <w:p w:rsidR="00E212EB" w:rsidRDefault="00C867E7">
      <w:pPr>
        <w:spacing w:before="240" w:after="240"/>
        <w:jc w:val="both"/>
        <w:rPr>
          <w:sz w:val="24"/>
          <w:szCs w:val="24"/>
        </w:rPr>
      </w:pPr>
      <w:r>
        <w:rPr>
          <w:sz w:val="24"/>
          <w:szCs w:val="24"/>
        </w:rPr>
        <w:t>Las anormalidades menstru</w:t>
      </w:r>
      <w:r>
        <w:rPr>
          <w:sz w:val="24"/>
          <w:szCs w:val="24"/>
        </w:rPr>
        <w:t>ales son más frecuentes en adolescentes diabéticas (se han reportado hasta el doble que en los controles). Se incluyen desde ciclos irregulares hasta amenorrea secundaria, fuertemente asociados a bajo índice de masa corporal y glucemias elevadas. El aument</w:t>
      </w:r>
      <w:r>
        <w:rPr>
          <w:sz w:val="24"/>
          <w:szCs w:val="24"/>
        </w:rPr>
        <w:t>o de la insulino-resistencia observada en la adolescencia puede predisponer a estas pacientes a un síndrome de poliquistosis ovárica. Las irregularidades menstruales (amenorrea secundaria, oligomenorrea o sangrado persistente), son resultado de la anovulac</w:t>
      </w:r>
      <w:r>
        <w:rPr>
          <w:sz w:val="24"/>
          <w:szCs w:val="24"/>
        </w:rPr>
        <w:t xml:space="preserve">ión. </w:t>
      </w:r>
    </w:p>
    <w:p w:rsidR="00E212EB" w:rsidRDefault="00C867E7">
      <w:pPr>
        <w:spacing w:before="240" w:after="240"/>
        <w:jc w:val="both"/>
        <w:rPr>
          <w:sz w:val="24"/>
          <w:szCs w:val="24"/>
        </w:rPr>
      </w:pPr>
      <w:r>
        <w:rPr>
          <w:sz w:val="24"/>
          <w:szCs w:val="24"/>
        </w:rPr>
        <w:t>El desbalance estrógeno-progesterona favorece la pérdida de la ciclicidad menstrual normal. El tratamiento debe enfocarse a regular el control glucémico. Un peso adecuado y buen nivel de glucemia son de gran ayuda para la regularización de los ciclos</w:t>
      </w:r>
      <w:r>
        <w:rPr>
          <w:sz w:val="24"/>
          <w:szCs w:val="24"/>
        </w:rPr>
        <w:t>. Puede utilizarse un suplemento con progesterona micronizada o sintética, como acetato de medroxiprogesterona, desde el día 15 al 25 del ciclo. También es aconsejable realizar actividad física moderada.</w:t>
      </w:r>
    </w:p>
    <w:p w:rsidR="00E212EB" w:rsidRDefault="00C867E7">
      <w:pPr>
        <w:spacing w:before="240" w:after="240"/>
        <w:jc w:val="both"/>
        <w:rPr>
          <w:b/>
          <w:sz w:val="24"/>
          <w:szCs w:val="24"/>
        </w:rPr>
      </w:pPr>
      <w:r>
        <w:rPr>
          <w:sz w:val="24"/>
          <w:szCs w:val="24"/>
        </w:rPr>
        <w:t xml:space="preserve">8- </w:t>
      </w:r>
      <w:r>
        <w:rPr>
          <w:b/>
          <w:sz w:val="24"/>
          <w:szCs w:val="24"/>
        </w:rPr>
        <w:t>Enfermedades mentales.</w:t>
      </w:r>
    </w:p>
    <w:p w:rsidR="00E212EB" w:rsidRDefault="00C867E7">
      <w:pPr>
        <w:spacing w:before="240" w:after="240"/>
        <w:jc w:val="both"/>
        <w:rPr>
          <w:sz w:val="24"/>
          <w:szCs w:val="24"/>
        </w:rPr>
      </w:pPr>
      <w:r>
        <w:rPr>
          <w:sz w:val="24"/>
          <w:szCs w:val="24"/>
        </w:rPr>
        <w:t>-Depresión</w:t>
      </w:r>
      <w:r>
        <w:rPr>
          <w:sz w:val="24"/>
          <w:szCs w:val="24"/>
        </w:rPr>
        <w:br/>
        <w:t xml:space="preserve">En las últimas </w:t>
      </w:r>
      <w:r>
        <w:rPr>
          <w:sz w:val="24"/>
          <w:szCs w:val="24"/>
        </w:rPr>
        <w:t>décadas los desórdenes mentales y específicamente la depresión, se han intensificado notablemente debido a: predisposición biológica del paciente, menor capacidad para tolerar el estrés, y mayores implicancias socioculturales en que el hombre está involucr</w:t>
      </w:r>
      <w:r>
        <w:rPr>
          <w:sz w:val="24"/>
          <w:szCs w:val="24"/>
        </w:rPr>
        <w:t>ado en los últimos años.</w:t>
      </w:r>
    </w:p>
    <w:p w:rsidR="00E212EB" w:rsidRDefault="00C867E7">
      <w:pPr>
        <w:spacing w:before="240" w:after="240"/>
        <w:jc w:val="both"/>
        <w:rPr>
          <w:sz w:val="24"/>
          <w:szCs w:val="24"/>
        </w:rPr>
      </w:pPr>
      <w:r>
        <w:rPr>
          <w:sz w:val="24"/>
          <w:szCs w:val="24"/>
        </w:rPr>
        <w:t>Su prevalencia se estima entre el 8 al 12% de las mujeres adultas. La proporción mujer/hombre para esta afección es de por lo menos 2:1. En estas pacientes son frecuentes las alteraciones menstruales, como la amenorrea, quedando in</w:t>
      </w:r>
      <w:r>
        <w:rPr>
          <w:sz w:val="24"/>
          <w:szCs w:val="24"/>
        </w:rPr>
        <w:t xml:space="preserve">volucrados en la etiología de esta patología diversos neurotransmisores como también el eje gonadotrófico. </w:t>
      </w:r>
    </w:p>
    <w:p w:rsidR="00E212EB" w:rsidRDefault="00C867E7">
      <w:pPr>
        <w:spacing w:before="240" w:after="240"/>
        <w:jc w:val="both"/>
        <w:rPr>
          <w:b/>
          <w:color w:val="2E2E2E"/>
          <w:sz w:val="24"/>
          <w:szCs w:val="24"/>
        </w:rPr>
      </w:pPr>
      <w:r>
        <w:rPr>
          <w:sz w:val="24"/>
          <w:szCs w:val="24"/>
        </w:rPr>
        <w:t>Las pacientes con depresión presentan pérdida de apetito, con disminución del tejido graso (desnutrición), por lo cual se halla menor conversión de androstenediona a estrona y menor concentración plasmática en los niveles de leptina. En los últimos 40 años</w:t>
      </w:r>
      <w:r>
        <w:rPr>
          <w:sz w:val="24"/>
          <w:szCs w:val="24"/>
        </w:rPr>
        <w:t xml:space="preserve"> ha habido un avance importante en el tratamiento de estos pacientes con el advenimiento de los psicofármacos. </w:t>
      </w:r>
    </w:p>
    <w:p w:rsidR="00E212EB" w:rsidRDefault="00C867E7">
      <w:pPr>
        <w:pStyle w:val="Ttulo5"/>
        <w:keepNext w:val="0"/>
        <w:keepLines w:val="0"/>
        <w:spacing w:before="220" w:after="40" w:line="335" w:lineRule="auto"/>
        <w:jc w:val="both"/>
        <w:rPr>
          <w:b/>
          <w:color w:val="2E2E2E"/>
          <w:sz w:val="24"/>
          <w:szCs w:val="24"/>
        </w:rPr>
      </w:pPr>
      <w:bookmarkStart w:id="1" w:name="_k9igffoghbml" w:colFirst="0" w:colLast="0"/>
      <w:bookmarkEnd w:id="1"/>
      <w:r>
        <w:rPr>
          <w:b/>
          <w:color w:val="2E2E2E"/>
          <w:sz w:val="24"/>
          <w:szCs w:val="24"/>
        </w:rPr>
        <w:t>Alteraciones hormonales femeninas causadas por enfermedades crónicas:</w:t>
      </w:r>
    </w:p>
    <w:p w:rsidR="00E212EB" w:rsidRDefault="00C867E7">
      <w:pPr>
        <w:pStyle w:val="Ttulo5"/>
        <w:keepNext w:val="0"/>
        <w:keepLines w:val="0"/>
        <w:spacing w:before="220" w:after="40" w:line="335" w:lineRule="auto"/>
        <w:jc w:val="both"/>
        <w:rPr>
          <w:color w:val="2E2E2E"/>
          <w:sz w:val="24"/>
          <w:szCs w:val="24"/>
          <w:u w:val="single"/>
        </w:rPr>
      </w:pPr>
      <w:bookmarkStart w:id="2" w:name="_nmfdbhe9r26g" w:colFirst="0" w:colLast="0"/>
      <w:bookmarkEnd w:id="2"/>
      <w:r>
        <w:rPr>
          <w:color w:val="2E2E2E"/>
          <w:sz w:val="24"/>
          <w:szCs w:val="24"/>
          <w:u w:val="single"/>
        </w:rPr>
        <w:t>Anovulación Hipotalámica Funcional</w:t>
      </w:r>
    </w:p>
    <w:p w:rsidR="00E212EB" w:rsidRDefault="00C867E7">
      <w:pPr>
        <w:spacing w:after="240"/>
        <w:jc w:val="both"/>
        <w:rPr>
          <w:color w:val="2E2E2E"/>
          <w:sz w:val="24"/>
          <w:szCs w:val="24"/>
        </w:rPr>
      </w:pPr>
      <w:r>
        <w:rPr>
          <w:color w:val="2E2E2E"/>
          <w:sz w:val="24"/>
          <w:szCs w:val="24"/>
        </w:rPr>
        <w:t>La Anovulación hipotalámica funcional s</w:t>
      </w:r>
      <w:r>
        <w:rPr>
          <w:color w:val="2E2E2E"/>
          <w:sz w:val="24"/>
          <w:szCs w:val="24"/>
        </w:rPr>
        <w:t>e caracteriza por una deficiencia estrogénica leve, asociado a niveles normales o bajos de gonadotrofinas, sin tener una causa genética o anatómica identifiable. Respecto a la fisiopatología, se caracteriza por una disminución en la secreción pulsátil de G</w:t>
      </w:r>
      <w:r>
        <w:rPr>
          <w:color w:val="2E2E2E"/>
          <w:sz w:val="24"/>
          <w:szCs w:val="24"/>
        </w:rPr>
        <w:t xml:space="preserve">nRH y una considerable variación en la amplitud y frecuencia de los pulsos de LH. </w:t>
      </w:r>
    </w:p>
    <w:p w:rsidR="00E212EB" w:rsidRDefault="00C867E7">
      <w:pPr>
        <w:spacing w:after="240"/>
        <w:jc w:val="both"/>
        <w:rPr>
          <w:color w:val="2E2E2E"/>
          <w:sz w:val="24"/>
          <w:szCs w:val="24"/>
        </w:rPr>
      </w:pPr>
      <w:r>
        <w:rPr>
          <w:color w:val="2E2E2E"/>
          <w:sz w:val="24"/>
          <w:szCs w:val="24"/>
        </w:rPr>
        <w:t>Una serie de factores y/o una combinación de ellos tales como malnutrición o restricción calórica, depresión, estrés, gasto excesivo de energía, medicamentos tales como seda</w:t>
      </w:r>
      <w:r>
        <w:rPr>
          <w:color w:val="2E2E2E"/>
          <w:sz w:val="24"/>
          <w:szCs w:val="24"/>
        </w:rPr>
        <w:t xml:space="preserve">tivos,antidepresivos, estimulantes y antipsicóticos, pueden ser el punto de partida de una anovulación hipotalámica funcional. El estrés físico y emocional, producen un aumento en la Hormona liberadora de corticotrofina (CRH), Hormona adrenocorticotrópica </w:t>
      </w:r>
      <w:r>
        <w:rPr>
          <w:color w:val="2E2E2E"/>
          <w:sz w:val="24"/>
          <w:szCs w:val="24"/>
        </w:rPr>
        <w:t>(ACTH), cortisol, prolactina, oxitocina, vasopresina, epinefrina, norepinefrina, las cuales tiene un rol importante en la secreción de GnRH y gonadotrofinas.</w:t>
      </w:r>
    </w:p>
    <w:p w:rsidR="00E212EB" w:rsidRDefault="00C867E7">
      <w:pPr>
        <w:pStyle w:val="Ttulo2"/>
        <w:keepNext w:val="0"/>
        <w:keepLines w:val="0"/>
        <w:spacing w:before="0"/>
        <w:jc w:val="both"/>
        <w:rPr>
          <w:b/>
          <w:color w:val="505050"/>
          <w:sz w:val="24"/>
          <w:szCs w:val="24"/>
          <w:u w:val="single"/>
        </w:rPr>
      </w:pPr>
      <w:bookmarkStart w:id="3" w:name="_7q55frgeraaq" w:colFirst="0" w:colLast="0"/>
      <w:bookmarkEnd w:id="3"/>
      <w:r>
        <w:rPr>
          <w:b/>
          <w:color w:val="505050"/>
          <w:sz w:val="24"/>
          <w:szCs w:val="24"/>
          <w:u w:val="single"/>
        </w:rPr>
        <w:t>Tratamientos:</w:t>
      </w:r>
    </w:p>
    <w:p w:rsidR="00E212EB" w:rsidRDefault="00C867E7">
      <w:pPr>
        <w:spacing w:after="360"/>
        <w:jc w:val="both"/>
        <w:rPr>
          <w:color w:val="2E2E2E"/>
          <w:sz w:val="24"/>
          <w:szCs w:val="24"/>
        </w:rPr>
      </w:pPr>
      <w:r>
        <w:rPr>
          <w:color w:val="2E2E2E"/>
          <w:sz w:val="24"/>
          <w:szCs w:val="24"/>
        </w:rPr>
        <w:t xml:space="preserve">La base del tratamiento en los casos de anovulación crónica está en tratar la causa </w:t>
      </w:r>
      <w:r>
        <w:rPr>
          <w:color w:val="2E2E2E"/>
          <w:sz w:val="24"/>
          <w:szCs w:val="24"/>
        </w:rPr>
        <w:t>primaria que está provocando la disfunción ovulatoria. Si al corregir la causa primaria, aun persisten las alteraciones del ciclo, estará indicada la inducción de la ovulación.</w:t>
      </w:r>
    </w:p>
    <w:p w:rsidR="00E212EB" w:rsidRDefault="00C867E7">
      <w:pPr>
        <w:pStyle w:val="Ttulo4"/>
        <w:keepNext w:val="0"/>
        <w:keepLines w:val="0"/>
        <w:numPr>
          <w:ilvl w:val="0"/>
          <w:numId w:val="13"/>
        </w:numPr>
        <w:spacing w:before="0" w:after="360" w:line="335" w:lineRule="auto"/>
        <w:jc w:val="both"/>
        <w:rPr>
          <w:color w:val="2E2E2E"/>
        </w:rPr>
      </w:pPr>
      <w:bookmarkStart w:id="4" w:name="_su85xr4vmvvf" w:colFirst="0" w:colLast="0"/>
      <w:bookmarkEnd w:id="4"/>
      <w:r>
        <w:rPr>
          <w:color w:val="2E2E2E"/>
          <w:u w:val="single"/>
        </w:rPr>
        <w:t>Hipogonadismo hipogonadotrófico</w:t>
      </w:r>
    </w:p>
    <w:p w:rsidR="00E212EB" w:rsidRDefault="00C867E7">
      <w:pPr>
        <w:spacing w:after="600"/>
        <w:jc w:val="both"/>
        <w:rPr>
          <w:color w:val="2E2E2E"/>
          <w:sz w:val="24"/>
          <w:szCs w:val="24"/>
        </w:rPr>
      </w:pPr>
      <w:r>
        <w:rPr>
          <w:color w:val="2E2E2E"/>
          <w:sz w:val="24"/>
          <w:szCs w:val="24"/>
        </w:rPr>
        <w:t>El tratamiento se basa en tratar la causa prima</w:t>
      </w:r>
      <w:r>
        <w:rPr>
          <w:color w:val="2E2E2E"/>
          <w:sz w:val="24"/>
          <w:szCs w:val="24"/>
        </w:rPr>
        <w:t>ria que está provocando una disfunción ovulatoria a nivel del sistema hipotálamo-hipofisiario. Muchas de estas pacientes recuperan su ciclicidad, modificando nada más que su sistema de vida cotidiana, sin necesidad del uso de medicamentos. Aquellas pacient</w:t>
      </w:r>
      <w:r>
        <w:rPr>
          <w:color w:val="2E2E2E"/>
          <w:sz w:val="24"/>
          <w:szCs w:val="24"/>
        </w:rPr>
        <w:t>es con anorexia y/o bulimia, deberán tratar su enfermedad de base con psicoterapia y terapia grupal, y regularizar su peso corporal, con lo que podrán empezar a ovular en forma espontánea. Pacientes deportistas extremas, deberán disminuir su entrenamiento,</w:t>
      </w:r>
      <w:r>
        <w:rPr>
          <w:color w:val="2E2E2E"/>
          <w:sz w:val="24"/>
          <w:szCs w:val="24"/>
        </w:rPr>
        <w:t xml:space="preserve"> modificar su estilo de alimentación y tratar de aumentar en parte su tejido graso.</w:t>
      </w:r>
    </w:p>
    <w:p w:rsidR="00E212EB" w:rsidRDefault="00C867E7">
      <w:pPr>
        <w:pStyle w:val="Ttulo4"/>
        <w:keepNext w:val="0"/>
        <w:keepLines w:val="0"/>
        <w:numPr>
          <w:ilvl w:val="0"/>
          <w:numId w:val="6"/>
        </w:numPr>
        <w:spacing w:before="0" w:after="360" w:line="335" w:lineRule="auto"/>
        <w:jc w:val="both"/>
        <w:rPr>
          <w:color w:val="2E2E2E"/>
        </w:rPr>
      </w:pPr>
      <w:bookmarkStart w:id="5" w:name="_4yok0ewxild8" w:colFirst="0" w:colLast="0"/>
      <w:bookmarkEnd w:id="5"/>
      <w:r>
        <w:rPr>
          <w:color w:val="2E2E2E"/>
          <w:u w:val="single"/>
        </w:rPr>
        <w:t>Anovulación hipotalámica funcional</w:t>
      </w:r>
    </w:p>
    <w:p w:rsidR="00E212EB" w:rsidRDefault="00C867E7">
      <w:pPr>
        <w:spacing w:after="600"/>
        <w:jc w:val="both"/>
        <w:rPr>
          <w:color w:val="2E2E2E"/>
          <w:sz w:val="24"/>
          <w:szCs w:val="24"/>
        </w:rPr>
      </w:pPr>
      <w:r>
        <w:rPr>
          <w:color w:val="2E2E2E"/>
          <w:sz w:val="24"/>
          <w:szCs w:val="24"/>
        </w:rPr>
        <w:t>El tratamiento de las pacientes con anovulación hipotalámica funcional, estará enfocado a distinguir la causa principal que está provocan</w:t>
      </w:r>
      <w:r>
        <w:rPr>
          <w:color w:val="2E2E2E"/>
          <w:sz w:val="24"/>
          <w:szCs w:val="24"/>
        </w:rPr>
        <w:t>do esta alteración en la ovulación. Mejorar la alimentación, tratar de disminuir el estrés cotidiano y laboral, e identificar posibles medicamentos que pudieran estar afectando la ovulación, serán el punto de partida en el tratamiento. Si a pesar de que fu</w:t>
      </w:r>
      <w:r>
        <w:rPr>
          <w:color w:val="2E2E2E"/>
          <w:sz w:val="24"/>
          <w:szCs w:val="24"/>
        </w:rPr>
        <w:t>eron corregidos todos los factores que pudieran estar afectando la ovulación, y ésta no se ha reiniciado en forma espontánea, deberá someterse a tratamiento de inducción de la ovulación.</w:t>
      </w:r>
    </w:p>
    <w:p w:rsidR="00E212EB" w:rsidRDefault="00C867E7">
      <w:pPr>
        <w:pStyle w:val="Ttulo4"/>
        <w:keepNext w:val="0"/>
        <w:keepLines w:val="0"/>
        <w:numPr>
          <w:ilvl w:val="0"/>
          <w:numId w:val="16"/>
        </w:numPr>
        <w:spacing w:before="0" w:after="360" w:line="335" w:lineRule="auto"/>
        <w:jc w:val="both"/>
        <w:rPr>
          <w:color w:val="2E2E2E"/>
        </w:rPr>
      </w:pPr>
      <w:bookmarkStart w:id="6" w:name="_2iiimfuuhkcl" w:colFirst="0" w:colLast="0"/>
      <w:bookmarkEnd w:id="6"/>
      <w:r>
        <w:rPr>
          <w:color w:val="2E2E2E"/>
          <w:u w:val="single"/>
        </w:rPr>
        <w:t>Síndrome de Ovario Poliquístico: tratamiento</w:t>
      </w:r>
    </w:p>
    <w:p w:rsidR="00E212EB" w:rsidRDefault="00C867E7">
      <w:pPr>
        <w:spacing w:after="600"/>
        <w:jc w:val="both"/>
        <w:rPr>
          <w:color w:val="2E2E2E"/>
          <w:sz w:val="24"/>
          <w:szCs w:val="24"/>
        </w:rPr>
      </w:pPr>
      <w:r>
        <w:rPr>
          <w:color w:val="2E2E2E"/>
          <w:sz w:val="24"/>
          <w:szCs w:val="24"/>
        </w:rPr>
        <w:t>El tratamiento en la pacientes con SOP está enfocado en mejorar su condición metabólica. Si la paciente se encuentra con sobrepeso, debe combinar dieta y ejercicio, lo cual puede afectar en forma positiva su perfil endocrino, la posibilidad de ovulación es</w:t>
      </w:r>
      <w:r>
        <w:rPr>
          <w:color w:val="2E2E2E"/>
          <w:sz w:val="24"/>
          <w:szCs w:val="24"/>
        </w:rPr>
        <w:t>pontánea y un eventual embarazo. Incluso una baja de peso de sólo el 5% del peso total de la paciente, puede ayudar a disminuir en forma importante el tejido graso, mejorar la sensibilidad de la insulina y restaurar la ovulación. Si además la paciente pres</w:t>
      </w:r>
      <w:r>
        <w:rPr>
          <w:color w:val="2E2E2E"/>
          <w:sz w:val="24"/>
          <w:szCs w:val="24"/>
        </w:rPr>
        <w:t xml:space="preserve">enta insulino-resistencia, el uso de insulino sensibilizadores como la Metformina, puede ayudar a corregir en parte el hiperandrogenismo, la anovulación, la infertilidad y la pérdida reproductiva temprana. </w:t>
      </w:r>
    </w:p>
    <w:p w:rsidR="00E212EB" w:rsidRDefault="00C867E7">
      <w:pPr>
        <w:spacing w:after="600"/>
        <w:jc w:val="both"/>
        <w:rPr>
          <w:color w:val="2E2E2E"/>
          <w:sz w:val="24"/>
          <w:szCs w:val="24"/>
        </w:rPr>
      </w:pPr>
      <w:r>
        <w:rPr>
          <w:color w:val="2E2E2E"/>
          <w:sz w:val="24"/>
          <w:szCs w:val="24"/>
        </w:rPr>
        <w:t>El drilling ovárico o técnica quirúrgica de induc</w:t>
      </w:r>
      <w:r>
        <w:rPr>
          <w:color w:val="2E2E2E"/>
          <w:sz w:val="24"/>
          <w:szCs w:val="24"/>
        </w:rPr>
        <w:t>ción de la ovulación, puede ser un tratamiento alternativo a la terapia con gonadotrofinas para inducir la ovulación</w:t>
      </w:r>
    </w:p>
    <w:p w:rsidR="00E212EB" w:rsidRDefault="00C867E7">
      <w:pPr>
        <w:pStyle w:val="Ttulo4"/>
        <w:keepNext w:val="0"/>
        <w:keepLines w:val="0"/>
        <w:spacing w:before="240" w:after="40" w:line="335" w:lineRule="auto"/>
        <w:jc w:val="both"/>
        <w:rPr>
          <w:color w:val="2E2E2E"/>
          <w:u w:val="single"/>
        </w:rPr>
      </w:pPr>
      <w:bookmarkStart w:id="7" w:name="_a5p18zttrbbl" w:colFirst="0" w:colLast="0"/>
      <w:bookmarkEnd w:id="7"/>
      <w:r>
        <w:rPr>
          <w:color w:val="2E2E2E"/>
          <w:u w:val="single"/>
        </w:rPr>
        <w:t>Hiperprolactinemia</w:t>
      </w:r>
    </w:p>
    <w:p w:rsidR="00E212EB" w:rsidRDefault="00C867E7">
      <w:pPr>
        <w:spacing w:after="240"/>
        <w:jc w:val="both"/>
        <w:rPr>
          <w:color w:val="2E2E2E"/>
          <w:sz w:val="24"/>
          <w:szCs w:val="24"/>
        </w:rPr>
      </w:pPr>
      <w:r>
        <w:rPr>
          <w:color w:val="2E2E2E"/>
          <w:sz w:val="24"/>
          <w:szCs w:val="24"/>
        </w:rPr>
        <w:t xml:space="preserve">La hiperprolactinemia produce una alteración en la secreción de GnRH, lo que se traduce en alteraciones que varían desde la disfunción ovulatoria con insuficiencia lútea con oligomenorrea a la amenorrea. </w:t>
      </w:r>
    </w:p>
    <w:p w:rsidR="00E212EB" w:rsidRDefault="00C867E7">
      <w:pPr>
        <w:spacing w:after="240"/>
        <w:jc w:val="both"/>
        <w:rPr>
          <w:color w:val="2E2E2E"/>
          <w:sz w:val="24"/>
          <w:szCs w:val="24"/>
        </w:rPr>
      </w:pPr>
      <w:r>
        <w:rPr>
          <w:color w:val="2E2E2E"/>
          <w:sz w:val="24"/>
          <w:szCs w:val="24"/>
        </w:rPr>
        <w:t>Otras causa de hiperprolactinemia puede ser el hipo</w:t>
      </w:r>
      <w:r>
        <w:rPr>
          <w:color w:val="2E2E2E"/>
          <w:sz w:val="24"/>
          <w:szCs w:val="24"/>
        </w:rPr>
        <w:t>tiroidismo, el Síndrome de Ovario Poliquístico y algunas drogas como los inhibidores selectivos de la recapturación de serotoninas, fenotiazidas antagonistas de dopamina, metoclopramida.</w:t>
      </w:r>
    </w:p>
    <w:p w:rsidR="00E212EB" w:rsidRDefault="00C867E7">
      <w:pPr>
        <w:pStyle w:val="Ttulo4"/>
        <w:keepNext w:val="0"/>
        <w:keepLines w:val="0"/>
        <w:spacing w:before="0" w:after="360" w:line="335" w:lineRule="auto"/>
        <w:jc w:val="both"/>
        <w:rPr>
          <w:b/>
          <w:color w:val="2E2E2E"/>
        </w:rPr>
      </w:pPr>
      <w:bookmarkStart w:id="8" w:name="_wsay2p9rqxq" w:colFirst="0" w:colLast="0"/>
      <w:bookmarkEnd w:id="8"/>
      <w:r>
        <w:rPr>
          <w:b/>
          <w:color w:val="2E2E2E"/>
        </w:rPr>
        <w:t>Tratamiento:</w:t>
      </w:r>
    </w:p>
    <w:p w:rsidR="00E212EB" w:rsidRDefault="00C867E7">
      <w:pPr>
        <w:numPr>
          <w:ilvl w:val="0"/>
          <w:numId w:val="1"/>
        </w:numPr>
        <w:spacing w:after="600"/>
        <w:jc w:val="both"/>
        <w:rPr>
          <w:color w:val="2E2E2E"/>
          <w:sz w:val="24"/>
          <w:szCs w:val="24"/>
        </w:rPr>
      </w:pPr>
      <w:r>
        <w:rPr>
          <w:color w:val="2E2E2E"/>
          <w:sz w:val="24"/>
          <w:szCs w:val="24"/>
        </w:rPr>
        <w:t>La primera línea de tratamiento para los casos de hiperp</w:t>
      </w:r>
      <w:r>
        <w:rPr>
          <w:color w:val="2E2E2E"/>
          <w:sz w:val="24"/>
          <w:szCs w:val="24"/>
        </w:rPr>
        <w:t>rolactinemia son los agonistas dopaminérgicos. La Bromocriptina o la Cabergolina son las drogas más ampliamente usadas.</w:t>
      </w:r>
    </w:p>
    <w:p w:rsidR="00E212EB" w:rsidRDefault="00C867E7">
      <w:pPr>
        <w:pStyle w:val="Ttulo4"/>
        <w:keepNext w:val="0"/>
        <w:keepLines w:val="0"/>
        <w:spacing w:before="240" w:after="40" w:line="335" w:lineRule="auto"/>
        <w:jc w:val="both"/>
        <w:rPr>
          <w:color w:val="2E2E2E"/>
          <w:u w:val="single"/>
        </w:rPr>
      </w:pPr>
      <w:bookmarkStart w:id="9" w:name="_z2aglbuechm6" w:colFirst="0" w:colLast="0"/>
      <w:bookmarkEnd w:id="9"/>
      <w:r>
        <w:rPr>
          <w:color w:val="2E2E2E"/>
          <w:u w:val="single"/>
        </w:rPr>
        <w:t>Trastornos Tiroideos</w:t>
      </w:r>
    </w:p>
    <w:p w:rsidR="00E212EB" w:rsidRDefault="00C867E7">
      <w:pPr>
        <w:spacing w:after="240"/>
        <w:jc w:val="both"/>
        <w:rPr>
          <w:color w:val="2E2E2E"/>
          <w:sz w:val="24"/>
          <w:szCs w:val="24"/>
        </w:rPr>
      </w:pPr>
      <w:r>
        <w:rPr>
          <w:color w:val="2E2E2E"/>
          <w:sz w:val="24"/>
          <w:szCs w:val="24"/>
        </w:rPr>
        <w:t>Disfunciones tiroideas se asocian frecuentemente a alteraciones menstruales y anovulación. Su incidencia en mujeres</w:t>
      </w:r>
      <w:r>
        <w:rPr>
          <w:color w:val="2E2E2E"/>
          <w:sz w:val="24"/>
          <w:szCs w:val="24"/>
        </w:rPr>
        <w:t xml:space="preserve"> en edad fértil varía entre un 2.3–5.1%.</w:t>
      </w:r>
    </w:p>
    <w:p w:rsidR="00E212EB" w:rsidRDefault="00C867E7">
      <w:pPr>
        <w:spacing w:after="240"/>
        <w:jc w:val="both"/>
        <w:rPr>
          <w:color w:val="2E2E2E"/>
          <w:sz w:val="24"/>
          <w:szCs w:val="24"/>
        </w:rPr>
      </w:pPr>
      <w:r>
        <w:rPr>
          <w:color w:val="2E2E2E"/>
          <w:sz w:val="24"/>
          <w:szCs w:val="24"/>
        </w:rPr>
        <w:t>El Hipertiroidismo se manifiesta principalmente con oligomenorrea, la que puede progresar a amenorrea en donde se produce una elevación importante de la LH y FSH, pérdida del pico de LH a mitad del ciclo, con la con</w:t>
      </w:r>
      <w:r>
        <w:rPr>
          <w:color w:val="2E2E2E"/>
          <w:sz w:val="24"/>
          <w:szCs w:val="24"/>
        </w:rPr>
        <w:t>secuente anovulación y niveles de progesterona bajo. La etiología más frecuente es la enfermedad de Graves. El exceso de hormona tiroidea produce un aumento en la globulina transportadora de hormonas sexuales (SHBG), estradiol circulante y testosterona.</w:t>
      </w:r>
    </w:p>
    <w:p w:rsidR="00E212EB" w:rsidRDefault="00C867E7">
      <w:pPr>
        <w:pStyle w:val="Ttulo4"/>
        <w:keepNext w:val="0"/>
        <w:keepLines w:val="0"/>
        <w:spacing w:before="0" w:after="360" w:line="335" w:lineRule="auto"/>
        <w:jc w:val="both"/>
        <w:rPr>
          <w:b/>
          <w:color w:val="2E2E2E"/>
        </w:rPr>
      </w:pPr>
      <w:bookmarkStart w:id="10" w:name="_uyn4fbdldxb6" w:colFirst="0" w:colLast="0"/>
      <w:bookmarkEnd w:id="10"/>
      <w:r>
        <w:rPr>
          <w:b/>
          <w:color w:val="2E2E2E"/>
        </w:rPr>
        <w:t>Tr</w:t>
      </w:r>
      <w:r>
        <w:rPr>
          <w:b/>
          <w:color w:val="2E2E2E"/>
        </w:rPr>
        <w:t>atamiento:</w:t>
      </w:r>
    </w:p>
    <w:p w:rsidR="00E212EB" w:rsidRDefault="00C867E7">
      <w:pPr>
        <w:spacing w:after="600"/>
        <w:jc w:val="both"/>
        <w:rPr>
          <w:color w:val="2E2E2E"/>
          <w:sz w:val="24"/>
          <w:szCs w:val="24"/>
        </w:rPr>
      </w:pPr>
      <w:r>
        <w:rPr>
          <w:color w:val="2E2E2E"/>
          <w:sz w:val="24"/>
          <w:szCs w:val="24"/>
        </w:rPr>
        <w:t>El tratamiento en los casos de trastornos tiroideos debe estar enfocado a regularizar los niveles de la hormona circulante, para así tratar de reestablecer los ciclos.</w:t>
      </w:r>
    </w:p>
    <w:p w:rsidR="00E212EB" w:rsidRDefault="00C867E7">
      <w:pPr>
        <w:numPr>
          <w:ilvl w:val="0"/>
          <w:numId w:val="7"/>
        </w:numPr>
        <w:jc w:val="both"/>
        <w:rPr>
          <w:color w:val="2E2E2E"/>
          <w:sz w:val="24"/>
          <w:szCs w:val="24"/>
        </w:rPr>
      </w:pPr>
      <w:r>
        <w:rPr>
          <w:color w:val="2E2E2E"/>
          <w:sz w:val="24"/>
          <w:szCs w:val="24"/>
        </w:rPr>
        <w:t>En casos de hipertiroidismo, el tratamiento con yodo radioactivo puede ser un</w:t>
      </w:r>
      <w:r>
        <w:rPr>
          <w:color w:val="2E2E2E"/>
          <w:sz w:val="24"/>
          <w:szCs w:val="24"/>
        </w:rPr>
        <w:t xml:space="preserve">a alternativa, sin embargo se encuentra contraindicado en mujeres que deseen exponerse a embarazo inmediatamente después de finalizado el tratamiento. </w:t>
      </w:r>
    </w:p>
    <w:p w:rsidR="00E212EB" w:rsidRDefault="00C867E7">
      <w:pPr>
        <w:numPr>
          <w:ilvl w:val="0"/>
          <w:numId w:val="7"/>
        </w:numPr>
        <w:spacing w:after="600"/>
        <w:jc w:val="both"/>
        <w:rPr>
          <w:color w:val="2E2E2E"/>
          <w:sz w:val="24"/>
          <w:szCs w:val="24"/>
        </w:rPr>
      </w:pPr>
      <w:r>
        <w:rPr>
          <w:color w:val="2E2E2E"/>
          <w:sz w:val="24"/>
          <w:szCs w:val="24"/>
        </w:rPr>
        <w:t>En los casos de hipotiroidismo, es muy importante corregir los niveles de hormona circulante, ya que niv</w:t>
      </w:r>
      <w:r>
        <w:rPr>
          <w:color w:val="2E2E2E"/>
          <w:sz w:val="24"/>
          <w:szCs w:val="24"/>
        </w:rPr>
        <w:t>eles bajos durante el embarazo puede asociarse a abortos espontáneos, partos prematuros, malformaciones congénitas, disfunciones neurológicas y bajo coeficiente intelectuaal. El tratamiento se basa en la administración exógena de hormona tiroídea, hasta es</w:t>
      </w:r>
      <w:r>
        <w:rPr>
          <w:color w:val="2E2E2E"/>
          <w:sz w:val="24"/>
          <w:szCs w:val="24"/>
        </w:rPr>
        <w:t>tablecer niveles normales de TSH y t4 libre.</w:t>
      </w:r>
    </w:p>
    <w:p w:rsidR="00E212EB" w:rsidRDefault="00C867E7">
      <w:pPr>
        <w:pStyle w:val="Ttulo4"/>
        <w:keepNext w:val="0"/>
        <w:keepLines w:val="0"/>
        <w:spacing w:before="0" w:after="360" w:line="335" w:lineRule="auto"/>
        <w:jc w:val="both"/>
        <w:rPr>
          <w:b/>
          <w:color w:val="2E2E2E"/>
          <w:u w:val="single"/>
        </w:rPr>
      </w:pPr>
      <w:bookmarkStart w:id="11" w:name="_av6e8wxgvwwn" w:colFirst="0" w:colLast="0"/>
      <w:bookmarkEnd w:id="11"/>
      <w:r>
        <w:rPr>
          <w:b/>
          <w:color w:val="2E2E2E"/>
          <w:u w:val="single"/>
        </w:rPr>
        <w:t>Tratamiento para Falla ovárica prematura</w:t>
      </w:r>
    </w:p>
    <w:p w:rsidR="00E212EB" w:rsidRDefault="00C867E7">
      <w:pPr>
        <w:spacing w:after="600"/>
        <w:jc w:val="both"/>
        <w:rPr>
          <w:sz w:val="24"/>
          <w:szCs w:val="24"/>
        </w:rPr>
      </w:pPr>
      <w:r>
        <w:rPr>
          <w:color w:val="2E2E2E"/>
          <w:sz w:val="24"/>
          <w:szCs w:val="24"/>
        </w:rPr>
        <w:t xml:space="preserve">Respecto a la parte reproductiva, son pacientes que requerirán ovodonación como tratamiento, por lo que deberán ser referidas a clínicas especializadas en fertilidad con </w:t>
      </w:r>
      <w:r>
        <w:rPr>
          <w:sz w:val="24"/>
          <w:szCs w:val="24"/>
        </w:rPr>
        <w:t>programas de ovodonación.</w:t>
      </w:r>
    </w:p>
    <w:p w:rsidR="00E212EB" w:rsidRDefault="00C867E7">
      <w:pPr>
        <w:pStyle w:val="Ttulo2"/>
        <w:keepNext w:val="0"/>
        <w:keepLines w:val="0"/>
        <w:numPr>
          <w:ilvl w:val="0"/>
          <w:numId w:val="4"/>
        </w:numPr>
        <w:spacing w:before="0"/>
        <w:jc w:val="both"/>
        <w:rPr>
          <w:b/>
          <w:sz w:val="24"/>
          <w:szCs w:val="24"/>
        </w:rPr>
      </w:pPr>
      <w:bookmarkStart w:id="12" w:name="_mv9i7b9slwnc" w:colFirst="0" w:colLast="0"/>
      <w:bookmarkEnd w:id="12"/>
      <w:r>
        <w:rPr>
          <w:b/>
          <w:sz w:val="24"/>
          <w:szCs w:val="24"/>
        </w:rPr>
        <w:t>Inducción de la ovulación</w:t>
      </w:r>
    </w:p>
    <w:p w:rsidR="00E212EB" w:rsidRDefault="00C867E7">
      <w:pPr>
        <w:spacing w:after="360"/>
        <w:jc w:val="both"/>
        <w:rPr>
          <w:sz w:val="24"/>
          <w:szCs w:val="24"/>
        </w:rPr>
      </w:pPr>
      <w:r>
        <w:rPr>
          <w:sz w:val="24"/>
          <w:szCs w:val="24"/>
        </w:rPr>
        <w:t>La inducción de la ovulación es un tratamiento que se realiza en aquellas pacientes con infertilidad de origen ovulatorio y tiene como fin lograr la ovulación. Se recomienda realizar una ecografía basal c</w:t>
      </w:r>
      <w:r>
        <w:rPr>
          <w:sz w:val="24"/>
          <w:szCs w:val="24"/>
        </w:rPr>
        <w:t xml:space="preserve">on menstruación antes de comenzar la estimulación en todas las pacientes, así como seguir la monitorización hasta comprobar la ovulación, para así lograr evaluar el número de folículos ovulados, el grosor y estructura endometrial. </w:t>
      </w:r>
    </w:p>
    <w:p w:rsidR="00E212EB" w:rsidRDefault="00C867E7">
      <w:pPr>
        <w:spacing w:after="360"/>
        <w:jc w:val="both"/>
        <w:rPr>
          <w:sz w:val="24"/>
          <w:szCs w:val="24"/>
        </w:rPr>
      </w:pPr>
      <w:r>
        <w:rPr>
          <w:sz w:val="24"/>
          <w:szCs w:val="24"/>
        </w:rPr>
        <w:t>Hay que tener presente q</w:t>
      </w:r>
      <w:r>
        <w:rPr>
          <w:sz w:val="24"/>
          <w:szCs w:val="24"/>
        </w:rPr>
        <w:t>ue, si no hay otras causales de infertilidad, el objetivo en las pacientes anovulatorias debe ser lograr la ovulación de un folículo y la reproducción de un ciclo normal. Esto no sólo significa un adecuado crecimiento folicular, sino también el logro de un</w:t>
      </w:r>
      <w:r>
        <w:rPr>
          <w:sz w:val="24"/>
          <w:szCs w:val="24"/>
        </w:rPr>
        <w:t xml:space="preserve"> adecuado grosor endometrial, de una textura endometrial normal, de una adecuada producción de moco cervical, que permita la migración espermática a través del mismo, y de una adecuada producción de Progesterona en la fase postovulatoria. </w:t>
      </w:r>
    </w:p>
    <w:p w:rsidR="00E212EB" w:rsidRDefault="00C867E7">
      <w:pPr>
        <w:pStyle w:val="Ttulo4"/>
        <w:keepNext w:val="0"/>
        <w:keepLines w:val="0"/>
        <w:numPr>
          <w:ilvl w:val="0"/>
          <w:numId w:val="10"/>
        </w:numPr>
        <w:spacing w:before="0" w:after="360" w:line="335" w:lineRule="auto"/>
        <w:jc w:val="both"/>
        <w:rPr>
          <w:b/>
          <w:color w:val="000000"/>
        </w:rPr>
      </w:pPr>
      <w:bookmarkStart w:id="13" w:name="_h25etejx9udk" w:colFirst="0" w:colLast="0"/>
      <w:bookmarkEnd w:id="13"/>
      <w:r>
        <w:rPr>
          <w:b/>
          <w:color w:val="000000"/>
        </w:rPr>
        <w:t>Antiestrógenos</w:t>
      </w:r>
    </w:p>
    <w:p w:rsidR="00E212EB" w:rsidRDefault="00C867E7">
      <w:pPr>
        <w:spacing w:after="600"/>
        <w:jc w:val="both"/>
        <w:rPr>
          <w:b/>
          <w:sz w:val="24"/>
          <w:szCs w:val="24"/>
          <w:shd w:val="clear" w:color="auto" w:fill="F8F9FA"/>
        </w:rPr>
      </w:pPr>
      <w:r>
        <w:rPr>
          <w:sz w:val="24"/>
          <w:szCs w:val="24"/>
        </w:rPr>
        <w:t xml:space="preserve">Este grupo de medicamentos permite inducir la ovulación en aquellas pacientes con niveles de estrógenos endógenos normales, ya que su mecanismo de acción se concentra a nivel hipotálamo–hipofisiario. </w:t>
      </w:r>
    </w:p>
    <w:p w:rsidR="00E212EB" w:rsidRDefault="00E212EB"/>
    <w:p w:rsidR="00E212EB" w:rsidRDefault="00C867E7">
      <w:pPr>
        <w:rPr>
          <w:u w:val="single"/>
        </w:rPr>
      </w:pPr>
      <w:r>
        <w:rPr>
          <w:u w:val="single"/>
        </w:rPr>
        <w:t>Bibliografía</w:t>
      </w:r>
    </w:p>
    <w:p w:rsidR="00E212EB" w:rsidRDefault="00C867E7">
      <w:pPr>
        <w:numPr>
          <w:ilvl w:val="0"/>
          <w:numId w:val="14"/>
        </w:numPr>
        <w:rPr>
          <w:rFonts w:ascii="Open Sans" w:eastAsia="Open Sans" w:hAnsi="Open Sans" w:cs="Open Sans"/>
          <w:sz w:val="24"/>
          <w:szCs w:val="24"/>
        </w:rPr>
      </w:pPr>
      <w:r>
        <w:rPr>
          <w:rFonts w:ascii="Open Sans" w:eastAsia="Open Sans" w:hAnsi="Open Sans" w:cs="Open Sans"/>
          <w:sz w:val="24"/>
          <w:szCs w:val="24"/>
        </w:rPr>
        <w:t>MSc. Anduriña Barrios Martínez and Dr. C.</w:t>
      </w:r>
      <w:r>
        <w:rPr>
          <w:rFonts w:ascii="Open Sans" w:eastAsia="Open Sans" w:hAnsi="Open Sans" w:cs="Open Sans"/>
          <w:sz w:val="24"/>
          <w:szCs w:val="24"/>
        </w:rPr>
        <w:t xml:space="preserve"> Luis Alberto Méndez Rosado. </w:t>
      </w:r>
      <w:r>
        <w:rPr>
          <w:rFonts w:ascii="Open Sans" w:eastAsia="Open Sans" w:hAnsi="Open Sans" w:cs="Open Sans"/>
          <w:i/>
          <w:sz w:val="24"/>
          <w:szCs w:val="24"/>
        </w:rPr>
        <w:t>Approach of the main causal factors in reproductive disorders</w:t>
      </w:r>
      <w:r>
        <w:rPr>
          <w:rFonts w:ascii="Open Sans" w:eastAsia="Open Sans" w:hAnsi="Open Sans" w:cs="Open Sans"/>
          <w:sz w:val="24"/>
          <w:szCs w:val="24"/>
        </w:rPr>
        <w:t xml:space="preserve"> . Revista Cubana de Ginecología y Obstetricia 2014;40(2):246-257.</w:t>
      </w:r>
    </w:p>
    <w:p w:rsidR="00E212EB" w:rsidRDefault="00C867E7">
      <w:pPr>
        <w:numPr>
          <w:ilvl w:val="0"/>
          <w:numId w:val="14"/>
        </w:numPr>
        <w:rPr>
          <w:rFonts w:ascii="Open Sans" w:eastAsia="Open Sans" w:hAnsi="Open Sans" w:cs="Open Sans"/>
          <w:sz w:val="24"/>
          <w:szCs w:val="24"/>
        </w:rPr>
      </w:pPr>
      <w:hyperlink r:id="rId10">
        <w:r>
          <w:rPr>
            <w:rFonts w:ascii="Open Sans" w:eastAsia="Open Sans" w:hAnsi="Open Sans" w:cs="Open Sans"/>
            <w:color w:val="1155CC"/>
            <w:sz w:val="24"/>
            <w:szCs w:val="24"/>
            <w:u w:val="single"/>
          </w:rPr>
          <w:t>https://www.medi</w:t>
        </w:r>
        <w:r>
          <w:rPr>
            <w:rFonts w:ascii="Open Sans" w:eastAsia="Open Sans" w:hAnsi="Open Sans" w:cs="Open Sans"/>
            <w:color w:val="1155CC"/>
            <w:sz w:val="24"/>
            <w:szCs w:val="24"/>
            <w:u w:val="single"/>
          </w:rPr>
          <w:t>graphic.com/pdfs/ginobsmex/gom-2013/gom135e.pdf</w:t>
        </w:r>
      </w:hyperlink>
    </w:p>
    <w:p w:rsidR="00E212EB" w:rsidRDefault="00C867E7">
      <w:pPr>
        <w:numPr>
          <w:ilvl w:val="0"/>
          <w:numId w:val="14"/>
        </w:numPr>
        <w:rPr>
          <w:rFonts w:ascii="Open Sans" w:eastAsia="Open Sans" w:hAnsi="Open Sans" w:cs="Open Sans"/>
          <w:color w:val="1155CC"/>
          <w:sz w:val="24"/>
          <w:szCs w:val="24"/>
        </w:rPr>
      </w:pPr>
      <w:hyperlink r:id="rId11">
        <w:r>
          <w:rPr>
            <w:rFonts w:ascii="Open Sans" w:eastAsia="Open Sans" w:hAnsi="Open Sans" w:cs="Open Sans"/>
            <w:color w:val="1155CC"/>
            <w:sz w:val="24"/>
            <w:szCs w:val="24"/>
            <w:u w:val="single"/>
          </w:rPr>
          <w:t>https://www.sciencedirect.com/science/article/pii/S0716864010705484</w:t>
        </w:r>
      </w:hyperlink>
    </w:p>
    <w:p w:rsidR="00E212EB" w:rsidRDefault="00C867E7">
      <w:pPr>
        <w:numPr>
          <w:ilvl w:val="0"/>
          <w:numId w:val="14"/>
        </w:numPr>
        <w:rPr>
          <w:rFonts w:ascii="Open Sans" w:eastAsia="Open Sans" w:hAnsi="Open Sans" w:cs="Open Sans"/>
          <w:sz w:val="24"/>
          <w:szCs w:val="24"/>
        </w:rPr>
      </w:pPr>
      <w:r>
        <w:rPr>
          <w:rFonts w:ascii="Verdana" w:eastAsia="Verdana" w:hAnsi="Verdana" w:cs="Verdana"/>
          <w:highlight w:val="white"/>
        </w:rPr>
        <w:t xml:space="preserve">De La Parra I, Oizerovich S, Escobar ME (2002) </w:t>
      </w:r>
      <w:r>
        <w:rPr>
          <w:rFonts w:ascii="Verdana" w:eastAsia="Verdana" w:hAnsi="Verdana" w:cs="Verdana"/>
          <w:i/>
          <w:highlight w:val="white"/>
        </w:rPr>
        <w:t>Altera</w:t>
      </w:r>
      <w:r>
        <w:rPr>
          <w:rFonts w:ascii="Verdana" w:eastAsia="Verdana" w:hAnsi="Verdana" w:cs="Verdana"/>
          <w:i/>
          <w:highlight w:val="white"/>
        </w:rPr>
        <w:t>ciones del eje reproductivo por enfermedades crónicas o sistémicas, sustancias tóxicas y drogas ilícitas</w:t>
      </w:r>
      <w:r>
        <w:rPr>
          <w:rFonts w:ascii="Verdana" w:eastAsia="Verdana" w:hAnsi="Verdana" w:cs="Verdana"/>
          <w:highlight w:val="white"/>
        </w:rPr>
        <w:t xml:space="preserve">. Rev. Reproducción Humana.  </w:t>
      </w:r>
    </w:p>
    <w:p w:rsidR="00E212EB" w:rsidRDefault="00C867E7">
      <w:pPr>
        <w:numPr>
          <w:ilvl w:val="0"/>
          <w:numId w:val="14"/>
        </w:numPr>
        <w:rPr>
          <w:rFonts w:ascii="Verdana" w:eastAsia="Verdana" w:hAnsi="Verdana" w:cs="Verdana"/>
          <w:highlight w:val="white"/>
        </w:rPr>
      </w:pPr>
      <w:r>
        <w:rPr>
          <w:rFonts w:ascii="Verdana" w:eastAsia="Verdana" w:hAnsi="Verdana" w:cs="Verdana"/>
          <w:highlight w:val="white"/>
        </w:rPr>
        <w:t xml:space="preserve">MJ Ballesta-Martínez, E Guillén-Navarro (2010). </w:t>
      </w:r>
      <w:r>
        <w:rPr>
          <w:rFonts w:ascii="Verdana" w:eastAsia="Verdana" w:hAnsi="Verdana" w:cs="Verdana"/>
          <w:i/>
          <w:highlight w:val="white"/>
        </w:rPr>
        <w:t xml:space="preserve">Síndrome de Noonan. </w:t>
      </w:r>
      <w:r>
        <w:rPr>
          <w:rFonts w:ascii="Verdana" w:eastAsia="Verdana" w:hAnsi="Verdana" w:cs="Verdana"/>
          <w:highlight w:val="white"/>
        </w:rPr>
        <w:t>Unidad de Genética Médica. Servicio de Pediatría</w:t>
      </w:r>
    </w:p>
    <w:p w:rsidR="00E212EB" w:rsidRDefault="00C867E7">
      <w:pPr>
        <w:numPr>
          <w:ilvl w:val="0"/>
          <w:numId w:val="14"/>
        </w:numPr>
        <w:spacing w:after="240"/>
        <w:rPr>
          <w:rFonts w:ascii="Verdana" w:eastAsia="Verdana" w:hAnsi="Verdana" w:cs="Verdana"/>
          <w:highlight w:val="white"/>
        </w:rPr>
      </w:pPr>
      <w:r>
        <w:rPr>
          <w:rFonts w:ascii="Verdana" w:eastAsia="Verdana" w:hAnsi="Verdana" w:cs="Verdana"/>
          <w:highlight w:val="white"/>
        </w:rPr>
        <w:t xml:space="preserve">Shah </w:t>
      </w:r>
      <w:r>
        <w:rPr>
          <w:rFonts w:ascii="Verdana" w:eastAsia="Verdana" w:hAnsi="Verdana" w:cs="Verdana"/>
          <w:highlight w:val="white"/>
        </w:rPr>
        <w:t xml:space="preserve">K, Sivapalan G, Gibbons N, Tempest H, Griffin D (2003). </w:t>
      </w:r>
      <w:r>
        <w:rPr>
          <w:rFonts w:ascii="Verdana" w:eastAsia="Verdana" w:hAnsi="Verdana" w:cs="Verdana"/>
          <w:i/>
          <w:highlight w:val="white"/>
        </w:rPr>
        <w:t>The genetic basis of infertility</w:t>
      </w:r>
      <w:r>
        <w:rPr>
          <w:rFonts w:ascii="Verdana" w:eastAsia="Verdana" w:hAnsi="Verdana" w:cs="Verdana"/>
          <w:highlight w:val="white"/>
        </w:rPr>
        <w:t>. Cell and Chromosome Biology Group, Department of Biological Sciences, Brunel University</w:t>
      </w:r>
    </w:p>
    <w:sectPr w:rsidR="00E212EB">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7E7" w:rsidRDefault="00C867E7">
      <w:pPr>
        <w:spacing w:line="240" w:lineRule="auto"/>
      </w:pPr>
      <w:r>
        <w:separator/>
      </w:r>
    </w:p>
  </w:endnote>
  <w:endnote w:type="continuationSeparator" w:id="0">
    <w:p w:rsidR="00C867E7" w:rsidRDefault="00C86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Open Sans">
    <w:charset w:val="00"/>
    <w:family w:val="auto"/>
    <w:pitch w:val="default"/>
  </w:font>
  <w:font w:name="Verdana">
    <w:panose1 w:val="020B0604030504040204"/>
    <w:charset w:val="00"/>
    <w:family w:val="auto"/>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2EB" w:rsidRDefault="00E212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7E7" w:rsidRDefault="00C867E7">
      <w:pPr>
        <w:spacing w:line="240" w:lineRule="auto"/>
      </w:pPr>
      <w:r>
        <w:separator/>
      </w:r>
    </w:p>
  </w:footnote>
  <w:footnote w:type="continuationSeparator" w:id="0">
    <w:p w:rsidR="00C867E7" w:rsidRDefault="00C867E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E28DF"/>
    <w:multiLevelType w:val="multilevel"/>
    <w:tmpl w:val="5DD4F5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E684C13"/>
    <w:multiLevelType w:val="multilevel"/>
    <w:tmpl w:val="903A9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48E34CF"/>
    <w:multiLevelType w:val="multilevel"/>
    <w:tmpl w:val="404AD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99066A0"/>
    <w:multiLevelType w:val="multilevel"/>
    <w:tmpl w:val="A38A7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AC94029"/>
    <w:multiLevelType w:val="multilevel"/>
    <w:tmpl w:val="49D03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14D310B"/>
    <w:multiLevelType w:val="multilevel"/>
    <w:tmpl w:val="3F82E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1792740"/>
    <w:multiLevelType w:val="multilevel"/>
    <w:tmpl w:val="ED045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FD6345B"/>
    <w:multiLevelType w:val="multilevel"/>
    <w:tmpl w:val="9CC4A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D601B78"/>
    <w:multiLevelType w:val="multilevel"/>
    <w:tmpl w:val="DBF4A6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nsid w:val="56A83DFB"/>
    <w:multiLevelType w:val="multilevel"/>
    <w:tmpl w:val="1A548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4B543DE"/>
    <w:multiLevelType w:val="multilevel"/>
    <w:tmpl w:val="C2EA3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8C927C3"/>
    <w:multiLevelType w:val="multilevel"/>
    <w:tmpl w:val="36747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96D4068"/>
    <w:multiLevelType w:val="multilevel"/>
    <w:tmpl w:val="0A687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6AF923D5"/>
    <w:multiLevelType w:val="multilevel"/>
    <w:tmpl w:val="A46400E2"/>
    <w:lvl w:ilvl="0">
      <w:start w:val="1"/>
      <w:numFmt w:val="bullet"/>
      <w:lvlText w:val="●"/>
      <w:lvlJc w:val="left"/>
      <w:pPr>
        <w:ind w:left="720" w:hanging="360"/>
      </w:pPr>
      <w:rPr>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6E5344D1"/>
    <w:multiLevelType w:val="multilevel"/>
    <w:tmpl w:val="B2B45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6EED39A1"/>
    <w:multiLevelType w:val="multilevel"/>
    <w:tmpl w:val="2E20D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72707A05"/>
    <w:multiLevelType w:val="multilevel"/>
    <w:tmpl w:val="D402D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7"/>
  </w:num>
  <w:num w:numId="3">
    <w:abstractNumId w:val="8"/>
  </w:num>
  <w:num w:numId="4">
    <w:abstractNumId w:val="1"/>
  </w:num>
  <w:num w:numId="5">
    <w:abstractNumId w:val="4"/>
  </w:num>
  <w:num w:numId="6">
    <w:abstractNumId w:val="9"/>
  </w:num>
  <w:num w:numId="7">
    <w:abstractNumId w:val="10"/>
  </w:num>
  <w:num w:numId="8">
    <w:abstractNumId w:val="3"/>
  </w:num>
  <w:num w:numId="9">
    <w:abstractNumId w:val="6"/>
  </w:num>
  <w:num w:numId="10">
    <w:abstractNumId w:val="12"/>
  </w:num>
  <w:num w:numId="11">
    <w:abstractNumId w:val="5"/>
  </w:num>
  <w:num w:numId="12">
    <w:abstractNumId w:val="16"/>
  </w:num>
  <w:num w:numId="13">
    <w:abstractNumId w:val="14"/>
  </w:num>
  <w:num w:numId="14">
    <w:abstractNumId w:val="15"/>
  </w:num>
  <w:num w:numId="15">
    <w:abstractNumId w:val="11"/>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212EB"/>
    <w:rsid w:val="00562394"/>
    <w:rsid w:val="00C867E7"/>
    <w:rsid w:val="00E212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ciencedirect.com/science/article/pii/S0716864010705484" TargetMode="External"/><Relationship Id="rId5" Type="http://schemas.openxmlformats.org/officeDocument/2006/relationships/webSettings" Target="webSettings.xml"/><Relationship Id="rId10" Type="http://schemas.openxmlformats.org/officeDocument/2006/relationships/hyperlink" Target="https://www.medigraphic.com/pdfs/ginobsmex/gom-2013/gom135e.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6043</Words>
  <Characters>33237</Characters>
  <Application>Microsoft Office Word</Application>
  <DocSecurity>0</DocSecurity>
  <Lines>276</Lines>
  <Paragraphs>78</Paragraphs>
  <ScaleCrop>false</ScaleCrop>
  <Company/>
  <LinksUpToDate>false</LinksUpToDate>
  <CharactersWithSpaces>39202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2020-11-12T14:05:00Z</dcterms:created>
  <dcterms:modified xsi:type="dcterms:W3CDTF">2020-11-12T14:05:00Z</dcterms:modified>
</cp:coreProperties>
</file>